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EDF83" w14:textId="77777777" w:rsidR="00D16F2F" w:rsidRDefault="004D7D26" w:rsidP="00D16F2F">
      <w:pPr>
        <w:pStyle w:val="LGAItemNoHeading"/>
        <w:spacing w:before="240"/>
        <w:rPr>
          <w:rFonts w:ascii="Arial" w:hAnsi="Arial" w:cs="Arial"/>
          <w:sz w:val="28"/>
          <w:szCs w:val="28"/>
        </w:rPr>
      </w:pPr>
      <w:r>
        <w:rPr>
          <w:rFonts w:ascii="Arial" w:hAnsi="Arial" w:cs="Arial"/>
          <w:sz w:val="28"/>
          <w:szCs w:val="28"/>
        </w:rPr>
        <w:t>Annual Accounts 2015-16 and</w:t>
      </w:r>
      <w:r w:rsidR="006F3734">
        <w:rPr>
          <w:rFonts w:ascii="Arial" w:hAnsi="Arial" w:cs="Arial"/>
          <w:sz w:val="28"/>
          <w:szCs w:val="28"/>
        </w:rPr>
        <w:t xml:space="preserve"> FRS102</w:t>
      </w:r>
      <w:r>
        <w:rPr>
          <w:rFonts w:ascii="Arial" w:hAnsi="Arial" w:cs="Arial"/>
          <w:sz w:val="28"/>
          <w:szCs w:val="28"/>
        </w:rPr>
        <w:t xml:space="preserve"> update</w:t>
      </w:r>
    </w:p>
    <w:p w14:paraId="482C04FB" w14:textId="6EDAEFC7" w:rsidR="00D16F2F" w:rsidRPr="0021114E" w:rsidRDefault="00D16F2F" w:rsidP="00D16F2F">
      <w:pPr>
        <w:pStyle w:val="MainText"/>
        <w:spacing w:line="240" w:lineRule="auto"/>
        <w:rPr>
          <w:rFonts w:cs="Arial"/>
          <w:b/>
          <w:szCs w:val="22"/>
        </w:rPr>
      </w:pPr>
      <w:r>
        <w:rPr>
          <w:rFonts w:cs="Arial"/>
          <w:b/>
          <w:szCs w:val="22"/>
        </w:rPr>
        <w:t xml:space="preserve">Purpose </w:t>
      </w:r>
    </w:p>
    <w:p w14:paraId="20760C82" w14:textId="4C6DEEDD" w:rsidR="00D16F2F" w:rsidRDefault="004D7D26" w:rsidP="00604788">
      <w:pPr>
        <w:pStyle w:val="MainText"/>
        <w:rPr>
          <w:rFonts w:cs="Arial"/>
          <w:szCs w:val="22"/>
        </w:rPr>
      </w:pPr>
      <w:r w:rsidRPr="000B1FB2">
        <w:rPr>
          <w:rFonts w:cs="Arial"/>
          <w:szCs w:val="22"/>
        </w:rPr>
        <w:t xml:space="preserve">For </w:t>
      </w:r>
      <w:r>
        <w:rPr>
          <w:rFonts w:cs="Arial"/>
          <w:szCs w:val="22"/>
        </w:rPr>
        <w:t>Members’ review</w:t>
      </w:r>
      <w:r w:rsidR="000336D2">
        <w:rPr>
          <w:rFonts w:cs="Arial"/>
          <w:szCs w:val="22"/>
        </w:rPr>
        <w:t xml:space="preserve"> and approval</w:t>
      </w:r>
      <w:r>
        <w:rPr>
          <w:rFonts w:cs="Arial"/>
          <w:szCs w:val="22"/>
        </w:rPr>
        <w:t>.</w:t>
      </w:r>
    </w:p>
    <w:p w14:paraId="307161FD" w14:textId="77777777" w:rsidR="00604788" w:rsidRPr="00604788" w:rsidRDefault="00604788" w:rsidP="00604788">
      <w:pPr>
        <w:pStyle w:val="MainText"/>
        <w:rPr>
          <w:rFonts w:cs="Arial"/>
          <w:szCs w:val="22"/>
        </w:rPr>
      </w:pPr>
    </w:p>
    <w:p w14:paraId="6BCA99D6" w14:textId="77777777" w:rsidR="00D16F2F" w:rsidRPr="0021114E" w:rsidRDefault="00D16F2F" w:rsidP="00D16F2F">
      <w:pPr>
        <w:pStyle w:val="MainText"/>
        <w:spacing w:line="240" w:lineRule="auto"/>
        <w:rPr>
          <w:rFonts w:cs="Arial"/>
          <w:szCs w:val="22"/>
        </w:rPr>
      </w:pPr>
      <w:r w:rsidRPr="0021114E">
        <w:rPr>
          <w:rFonts w:cs="Arial"/>
          <w:b/>
          <w:szCs w:val="22"/>
        </w:rPr>
        <w:t>Summary</w:t>
      </w:r>
    </w:p>
    <w:p w14:paraId="2792AB5A" w14:textId="77777777" w:rsidR="00075DA6" w:rsidRDefault="001D6325" w:rsidP="00301EEA">
      <w:pPr>
        <w:rPr>
          <w:rFonts w:cs="Arial"/>
          <w:szCs w:val="22"/>
        </w:rPr>
      </w:pPr>
      <w:r>
        <w:t xml:space="preserve">Further to </w:t>
      </w:r>
      <w:r w:rsidR="003D50EF">
        <w:t xml:space="preserve">the </w:t>
      </w:r>
      <w:r w:rsidR="00301EEA">
        <w:t>report</w:t>
      </w:r>
      <w:r w:rsidR="003D50EF">
        <w:t xml:space="preserve"> </w:t>
      </w:r>
      <w:r w:rsidR="00075DA6">
        <w:t>to</w:t>
      </w:r>
      <w:r w:rsidR="003D50EF">
        <w:t xml:space="preserve"> 18 January 2016 </w:t>
      </w:r>
      <w:r w:rsidR="00075DA6">
        <w:t xml:space="preserve">Audit Committee and subsequent detailed summary to Audit Committee members, </w:t>
      </w:r>
      <w:r w:rsidR="003D50EF">
        <w:t>this paper</w:t>
      </w:r>
      <w:r w:rsidR="00301EEA">
        <w:t xml:space="preserve"> presents the draft </w:t>
      </w:r>
      <w:r w:rsidR="00075DA6">
        <w:t xml:space="preserve">revised </w:t>
      </w:r>
      <w:r w:rsidR="00301EEA" w:rsidRPr="00D85793">
        <w:rPr>
          <w:rFonts w:cs="Arial"/>
          <w:szCs w:val="22"/>
        </w:rPr>
        <w:t xml:space="preserve">Accounting Policies </w:t>
      </w:r>
      <w:r w:rsidR="00301EEA">
        <w:rPr>
          <w:rFonts w:cs="Arial"/>
          <w:szCs w:val="22"/>
        </w:rPr>
        <w:t xml:space="preserve">for </w:t>
      </w:r>
      <w:r w:rsidR="00301EEA" w:rsidRPr="00D85793">
        <w:rPr>
          <w:rFonts w:cs="Arial"/>
          <w:szCs w:val="22"/>
        </w:rPr>
        <w:t xml:space="preserve">review </w:t>
      </w:r>
      <w:r w:rsidR="00075DA6">
        <w:rPr>
          <w:rFonts w:cs="Arial"/>
          <w:szCs w:val="22"/>
        </w:rPr>
        <w:t xml:space="preserve">and approval by the </w:t>
      </w:r>
      <w:r w:rsidR="00446038">
        <w:rPr>
          <w:rFonts w:cs="Arial"/>
          <w:szCs w:val="22"/>
        </w:rPr>
        <w:t>LGA and Company Boards</w:t>
      </w:r>
      <w:r w:rsidR="00075DA6">
        <w:rPr>
          <w:rFonts w:cs="Arial"/>
          <w:szCs w:val="22"/>
        </w:rPr>
        <w:t xml:space="preserve"> to comply with the new FRS102 reporting standards</w:t>
      </w:r>
      <w:r w:rsidR="00301EEA" w:rsidRPr="00D85793">
        <w:rPr>
          <w:rFonts w:cs="Arial"/>
          <w:szCs w:val="22"/>
        </w:rPr>
        <w:t xml:space="preserve">. </w:t>
      </w:r>
    </w:p>
    <w:p w14:paraId="49F8104C" w14:textId="77777777" w:rsidR="00075DA6" w:rsidRDefault="00075DA6" w:rsidP="00301EEA">
      <w:pPr>
        <w:rPr>
          <w:rFonts w:cs="Arial"/>
          <w:szCs w:val="22"/>
        </w:rPr>
      </w:pPr>
    </w:p>
    <w:p w14:paraId="1035ED8E" w14:textId="20CE8758" w:rsidR="00075DA6" w:rsidRDefault="00075DA6" w:rsidP="00301EEA">
      <w:r w:rsidRPr="00075DA6">
        <w:t xml:space="preserve">The policies also include </w:t>
      </w:r>
      <w:r w:rsidR="007A3826">
        <w:t>a</w:t>
      </w:r>
      <w:r w:rsidRPr="00075DA6">
        <w:t xml:space="preserve"> change in Accounting Policy that will be required in order to present a true and fair view in the LGA's consolidated accounts and those of the Improvement and Development Agency</w:t>
      </w:r>
      <w:r w:rsidR="007A3826" w:rsidRPr="007A3826">
        <w:t xml:space="preserve"> </w:t>
      </w:r>
      <w:r w:rsidR="007A3826">
        <w:t>to exclude the consolidation of the accounts of the Public Sector Audit Appointments Limited</w:t>
      </w:r>
      <w:r w:rsidRPr="00075DA6">
        <w:t>.</w:t>
      </w:r>
    </w:p>
    <w:p w14:paraId="613E215C" w14:textId="77777777" w:rsidR="00075DA6" w:rsidRDefault="00075DA6" w:rsidP="00301EEA"/>
    <w:p w14:paraId="69E7E830" w14:textId="21748E98" w:rsidR="00D85793" w:rsidRPr="0021114E" w:rsidRDefault="00301EEA" w:rsidP="00301EEA">
      <w:pPr>
        <w:rPr>
          <w:rFonts w:cs="Arial"/>
          <w:szCs w:val="22"/>
        </w:rPr>
      </w:pPr>
      <w:r>
        <w:t xml:space="preserve">In addition as </w:t>
      </w:r>
      <w:r w:rsidR="00231CF1">
        <w:t>an Appendix</w:t>
      </w:r>
      <w:r>
        <w:t xml:space="preserve"> to the report are extracts from the accounts </w:t>
      </w:r>
      <w:r w:rsidR="00CB5D4F">
        <w:t xml:space="preserve">of </w:t>
      </w:r>
      <w:r w:rsidR="00231CF1">
        <w:t>the</w:t>
      </w:r>
      <w:r w:rsidR="004E40FE">
        <w:t xml:space="preserve"> Improvement and Development Agency </w:t>
      </w:r>
      <w:r>
        <w:t>show</w:t>
      </w:r>
      <w:r w:rsidR="00231CF1">
        <w:t>ing</w:t>
      </w:r>
      <w:r>
        <w:t xml:space="preserve"> the impact of the </w:t>
      </w:r>
      <w:r w:rsidR="006F3734">
        <w:t xml:space="preserve">implementation of FRS102 </w:t>
      </w:r>
      <w:r>
        <w:t xml:space="preserve">by comparing the </w:t>
      </w:r>
      <w:r w:rsidR="00814210">
        <w:rPr>
          <w:rFonts w:cs="Arial"/>
          <w:szCs w:val="22"/>
        </w:rPr>
        <w:t>restated</w:t>
      </w:r>
      <w:r w:rsidR="00446038">
        <w:rPr>
          <w:rFonts w:cs="Arial"/>
          <w:szCs w:val="22"/>
        </w:rPr>
        <w:t xml:space="preserve"> and original presentation</w:t>
      </w:r>
      <w:r w:rsidR="00814210">
        <w:rPr>
          <w:rFonts w:cs="Arial"/>
          <w:szCs w:val="22"/>
        </w:rPr>
        <w:t xml:space="preserve"> for the financial year</w:t>
      </w:r>
      <w:r w:rsidR="00D85793">
        <w:rPr>
          <w:rFonts w:cs="Arial"/>
          <w:szCs w:val="22"/>
        </w:rPr>
        <w:t xml:space="preserve"> 201</w:t>
      </w:r>
      <w:r w:rsidR="00814210">
        <w:rPr>
          <w:rFonts w:cs="Arial"/>
          <w:szCs w:val="22"/>
        </w:rPr>
        <w:t>4/15</w:t>
      </w:r>
      <w:r w:rsidR="00D85793">
        <w:rPr>
          <w:rFonts w:cs="Arial"/>
          <w:szCs w:val="22"/>
        </w:rPr>
        <w:t>.</w:t>
      </w:r>
    </w:p>
    <w:p w14:paraId="61307306" w14:textId="77777777" w:rsidR="00D16F2F" w:rsidRPr="0021114E" w:rsidRDefault="00D16F2F" w:rsidP="00D16F2F">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D16F2F" w:rsidRPr="0021114E" w14:paraId="21C178D8" w14:textId="77777777" w:rsidTr="006F3734">
        <w:tc>
          <w:tcPr>
            <w:tcW w:w="9157" w:type="dxa"/>
          </w:tcPr>
          <w:p w14:paraId="1AB98CA4" w14:textId="77777777" w:rsidR="00D16F2F" w:rsidRPr="0021114E" w:rsidRDefault="00D16F2F" w:rsidP="006F3734">
            <w:pPr>
              <w:pStyle w:val="MainText"/>
              <w:spacing w:line="240" w:lineRule="auto"/>
              <w:rPr>
                <w:rFonts w:cs="Arial"/>
                <w:b/>
                <w:szCs w:val="22"/>
              </w:rPr>
            </w:pPr>
          </w:p>
          <w:p w14:paraId="704212CF" w14:textId="0D417F0F" w:rsidR="00D16F2F" w:rsidRPr="00604788" w:rsidRDefault="00D16F2F" w:rsidP="006F3734">
            <w:pPr>
              <w:pStyle w:val="MainText"/>
              <w:spacing w:line="240" w:lineRule="auto"/>
              <w:rPr>
                <w:rFonts w:cs="Arial"/>
                <w:b/>
                <w:szCs w:val="22"/>
              </w:rPr>
            </w:pPr>
            <w:r w:rsidRPr="0021114E">
              <w:rPr>
                <w:rFonts w:cs="Arial"/>
                <w:b/>
                <w:szCs w:val="22"/>
              </w:rPr>
              <w:t>Recommendation</w:t>
            </w:r>
          </w:p>
          <w:p w14:paraId="0A53170C" w14:textId="60AD4303" w:rsidR="000336D2" w:rsidRPr="00231CF1" w:rsidRDefault="000336D2" w:rsidP="00231CF1">
            <w:pPr>
              <w:spacing w:after="160" w:line="259" w:lineRule="auto"/>
              <w:rPr>
                <w:rFonts w:cs="Arial"/>
                <w:szCs w:val="22"/>
              </w:rPr>
            </w:pPr>
            <w:r w:rsidRPr="000336D2">
              <w:rPr>
                <w:rFonts w:cs="Arial"/>
                <w:szCs w:val="22"/>
              </w:rPr>
              <w:t>The Board is requeste</w:t>
            </w:r>
            <w:r w:rsidR="00231CF1">
              <w:rPr>
                <w:rFonts w:cs="Arial"/>
                <w:szCs w:val="22"/>
              </w:rPr>
              <w:t>d to a</w:t>
            </w:r>
            <w:r w:rsidRPr="00231CF1">
              <w:rPr>
                <w:rFonts w:cs="Arial"/>
                <w:szCs w:val="22"/>
              </w:rPr>
              <w:t xml:space="preserve">pprove the amended </w:t>
            </w:r>
            <w:r w:rsidR="00231CF1">
              <w:rPr>
                <w:rFonts w:cs="Arial"/>
                <w:szCs w:val="22"/>
              </w:rPr>
              <w:t xml:space="preserve">accounting </w:t>
            </w:r>
            <w:r w:rsidRPr="00231CF1">
              <w:rPr>
                <w:rFonts w:cs="Arial"/>
                <w:szCs w:val="22"/>
              </w:rPr>
              <w:t>policies for the Improvement and Development Agency.</w:t>
            </w:r>
          </w:p>
          <w:p w14:paraId="10C1F213" w14:textId="52890701" w:rsidR="00D16F2F" w:rsidRPr="0021114E" w:rsidRDefault="00D16F2F" w:rsidP="006F3734">
            <w:pPr>
              <w:pStyle w:val="MainText"/>
              <w:spacing w:line="240" w:lineRule="auto"/>
              <w:rPr>
                <w:rFonts w:cs="Arial"/>
                <w:b/>
                <w:szCs w:val="22"/>
              </w:rPr>
            </w:pPr>
            <w:r w:rsidRPr="0021114E">
              <w:rPr>
                <w:rFonts w:cs="Arial"/>
                <w:b/>
                <w:szCs w:val="22"/>
              </w:rPr>
              <w:t>Action</w:t>
            </w:r>
          </w:p>
          <w:p w14:paraId="6DDE892D" w14:textId="77777777" w:rsidR="00D16F2F" w:rsidRDefault="00446038" w:rsidP="00EE7DCB">
            <w:pPr>
              <w:pStyle w:val="MainText"/>
              <w:spacing w:line="240" w:lineRule="auto"/>
              <w:rPr>
                <w:rFonts w:cs="Arial"/>
                <w:szCs w:val="22"/>
              </w:rPr>
            </w:pPr>
            <w:r>
              <w:rPr>
                <w:rFonts w:cs="Arial"/>
                <w:szCs w:val="22"/>
              </w:rPr>
              <w:t xml:space="preserve">Strategic Finance Manager to </w:t>
            </w:r>
            <w:r w:rsidR="00AE2EFB">
              <w:rPr>
                <w:rFonts w:cs="Arial"/>
                <w:szCs w:val="22"/>
              </w:rPr>
              <w:t>reflect the revised</w:t>
            </w:r>
            <w:r w:rsidR="00231CF1">
              <w:rPr>
                <w:rFonts w:cs="Arial"/>
                <w:szCs w:val="22"/>
              </w:rPr>
              <w:t xml:space="preserve"> accounting</w:t>
            </w:r>
            <w:r w:rsidR="00AE2EFB">
              <w:rPr>
                <w:rFonts w:cs="Arial"/>
                <w:szCs w:val="22"/>
              </w:rPr>
              <w:t xml:space="preserve"> policies </w:t>
            </w:r>
            <w:r w:rsidR="00EE7DCB">
              <w:rPr>
                <w:rFonts w:cs="Arial"/>
                <w:szCs w:val="22"/>
              </w:rPr>
              <w:t>in producing</w:t>
            </w:r>
            <w:r w:rsidR="00AE2EFB">
              <w:rPr>
                <w:rFonts w:cs="Arial"/>
                <w:szCs w:val="22"/>
              </w:rPr>
              <w:t xml:space="preserve"> the 2015/16 Statutory Accounts.</w:t>
            </w:r>
            <w:r>
              <w:rPr>
                <w:rFonts w:cs="Arial"/>
                <w:szCs w:val="22"/>
              </w:rPr>
              <w:t xml:space="preserve"> </w:t>
            </w:r>
          </w:p>
          <w:p w14:paraId="51F792A4" w14:textId="71F0B157" w:rsidR="00604788" w:rsidRPr="000336D2" w:rsidRDefault="00604788" w:rsidP="00EE7DCB">
            <w:pPr>
              <w:pStyle w:val="MainText"/>
              <w:spacing w:line="240" w:lineRule="auto"/>
              <w:rPr>
                <w:rFonts w:cs="Arial"/>
                <w:szCs w:val="22"/>
              </w:rPr>
            </w:pPr>
          </w:p>
        </w:tc>
      </w:tr>
    </w:tbl>
    <w:p w14:paraId="1645B317" w14:textId="77777777" w:rsidR="00D16F2F" w:rsidRPr="0021114E" w:rsidRDefault="00D16F2F" w:rsidP="00D16F2F">
      <w:pPr>
        <w:pStyle w:val="MainText"/>
        <w:spacing w:line="240" w:lineRule="auto"/>
        <w:rPr>
          <w:rFonts w:cs="Arial"/>
          <w:szCs w:val="22"/>
        </w:rPr>
      </w:pPr>
    </w:p>
    <w:tbl>
      <w:tblPr>
        <w:tblW w:w="0" w:type="auto"/>
        <w:tblLook w:val="01E0" w:firstRow="1" w:lastRow="1" w:firstColumn="1" w:lastColumn="1" w:noHBand="0" w:noVBand="0"/>
      </w:tblPr>
      <w:tblGrid>
        <w:gridCol w:w="2769"/>
        <w:gridCol w:w="6302"/>
      </w:tblGrid>
      <w:tr w:rsidR="004D7D26" w:rsidRPr="004D7D26" w14:paraId="2F22D611" w14:textId="77777777" w:rsidTr="004D7D26">
        <w:tc>
          <w:tcPr>
            <w:tcW w:w="2802" w:type="dxa"/>
            <w:shd w:val="clear" w:color="auto" w:fill="auto"/>
          </w:tcPr>
          <w:p w14:paraId="0AF42AD0" w14:textId="77777777" w:rsidR="004D7D26" w:rsidRPr="004D7D26" w:rsidRDefault="004D7D26" w:rsidP="004D7D26">
            <w:pPr>
              <w:pStyle w:val="MainText"/>
              <w:spacing w:line="240" w:lineRule="auto"/>
              <w:rPr>
                <w:rFonts w:asciiTheme="minorHAnsi" w:hAnsiTheme="minorHAnsi" w:cstheme="minorHAnsi"/>
                <w:szCs w:val="22"/>
              </w:rPr>
            </w:pPr>
            <w:r w:rsidRPr="004D7D26">
              <w:rPr>
                <w:rFonts w:asciiTheme="minorHAnsi" w:hAnsiTheme="minorHAnsi" w:cstheme="minorHAnsi"/>
                <w:b/>
                <w:szCs w:val="22"/>
              </w:rPr>
              <w:t>Contact officer:</w:t>
            </w:r>
            <w:r w:rsidRPr="004D7D26">
              <w:rPr>
                <w:rFonts w:asciiTheme="minorHAnsi" w:hAnsiTheme="minorHAnsi" w:cstheme="minorHAnsi"/>
                <w:szCs w:val="22"/>
              </w:rPr>
              <w:t xml:space="preserve">  </w:t>
            </w:r>
          </w:p>
        </w:tc>
        <w:tc>
          <w:tcPr>
            <w:tcW w:w="6378" w:type="dxa"/>
            <w:shd w:val="clear" w:color="auto" w:fill="auto"/>
          </w:tcPr>
          <w:p w14:paraId="541B1C8B" w14:textId="77777777" w:rsidR="004D7D26" w:rsidRPr="004D7D26" w:rsidRDefault="004D7D26" w:rsidP="004D7D26">
            <w:pPr>
              <w:pStyle w:val="MainText"/>
              <w:spacing w:line="240" w:lineRule="auto"/>
              <w:rPr>
                <w:rFonts w:asciiTheme="minorHAnsi" w:hAnsiTheme="minorHAnsi" w:cstheme="minorHAnsi"/>
                <w:szCs w:val="22"/>
              </w:rPr>
            </w:pPr>
            <w:r w:rsidRPr="004D7D26">
              <w:rPr>
                <w:rFonts w:asciiTheme="minorHAnsi" w:hAnsiTheme="minorHAnsi" w:cstheme="minorHAnsi"/>
                <w:szCs w:val="22"/>
              </w:rPr>
              <w:t>Paul Brack</w:t>
            </w:r>
          </w:p>
        </w:tc>
      </w:tr>
      <w:tr w:rsidR="004D7D26" w:rsidRPr="004D7D26" w14:paraId="3D52D3B9" w14:textId="77777777" w:rsidTr="004D7D26">
        <w:tc>
          <w:tcPr>
            <w:tcW w:w="2802" w:type="dxa"/>
            <w:shd w:val="clear" w:color="auto" w:fill="auto"/>
          </w:tcPr>
          <w:p w14:paraId="667B0E49" w14:textId="77777777" w:rsidR="004D7D26" w:rsidRPr="004D7D26" w:rsidRDefault="004D7D26" w:rsidP="004D7D26">
            <w:pPr>
              <w:pStyle w:val="MainText"/>
              <w:spacing w:line="240" w:lineRule="auto"/>
              <w:rPr>
                <w:rFonts w:asciiTheme="minorHAnsi" w:hAnsiTheme="minorHAnsi" w:cstheme="minorHAnsi"/>
                <w:b/>
                <w:szCs w:val="22"/>
              </w:rPr>
            </w:pPr>
            <w:r w:rsidRPr="004D7D26">
              <w:rPr>
                <w:rFonts w:asciiTheme="minorHAnsi" w:hAnsiTheme="minorHAnsi" w:cstheme="minorHAnsi"/>
                <w:b/>
                <w:szCs w:val="22"/>
              </w:rPr>
              <w:t>Position:</w:t>
            </w:r>
          </w:p>
        </w:tc>
        <w:tc>
          <w:tcPr>
            <w:tcW w:w="6378" w:type="dxa"/>
            <w:shd w:val="clear" w:color="auto" w:fill="auto"/>
          </w:tcPr>
          <w:p w14:paraId="19DFE4A2" w14:textId="77777777" w:rsidR="004D7D26" w:rsidRPr="004D7D26" w:rsidRDefault="004D7D26" w:rsidP="004D7D26">
            <w:pPr>
              <w:pStyle w:val="MainText"/>
              <w:spacing w:line="240" w:lineRule="auto"/>
              <w:rPr>
                <w:rFonts w:asciiTheme="minorHAnsi" w:hAnsiTheme="minorHAnsi" w:cstheme="minorHAnsi"/>
                <w:szCs w:val="22"/>
              </w:rPr>
            </w:pPr>
            <w:r w:rsidRPr="004D7D26">
              <w:rPr>
                <w:rFonts w:asciiTheme="minorHAnsi" w:hAnsiTheme="minorHAnsi" w:cstheme="minorHAnsi"/>
                <w:szCs w:val="22"/>
              </w:rPr>
              <w:t>Strategic Finance Manager</w:t>
            </w:r>
          </w:p>
        </w:tc>
      </w:tr>
      <w:tr w:rsidR="004D7D26" w:rsidRPr="004D7D26" w14:paraId="26AF71D8" w14:textId="77777777" w:rsidTr="004D7D26">
        <w:tc>
          <w:tcPr>
            <w:tcW w:w="2802" w:type="dxa"/>
            <w:shd w:val="clear" w:color="auto" w:fill="auto"/>
          </w:tcPr>
          <w:p w14:paraId="2D9134E1" w14:textId="77777777" w:rsidR="004D7D26" w:rsidRPr="004D7D26" w:rsidRDefault="004D7D26" w:rsidP="004D7D26">
            <w:pPr>
              <w:pStyle w:val="MainText"/>
              <w:spacing w:line="240" w:lineRule="auto"/>
              <w:rPr>
                <w:rFonts w:asciiTheme="minorHAnsi" w:hAnsiTheme="minorHAnsi" w:cstheme="minorHAnsi"/>
                <w:b/>
                <w:szCs w:val="22"/>
              </w:rPr>
            </w:pPr>
            <w:r w:rsidRPr="004D7D26">
              <w:rPr>
                <w:rFonts w:asciiTheme="minorHAnsi" w:hAnsiTheme="minorHAnsi" w:cstheme="minorHAnsi"/>
                <w:b/>
                <w:szCs w:val="22"/>
              </w:rPr>
              <w:t>Phone no:</w:t>
            </w:r>
          </w:p>
        </w:tc>
        <w:tc>
          <w:tcPr>
            <w:tcW w:w="6378" w:type="dxa"/>
            <w:shd w:val="clear" w:color="auto" w:fill="auto"/>
          </w:tcPr>
          <w:p w14:paraId="36A658F5" w14:textId="77777777" w:rsidR="004D7D26" w:rsidRPr="004D7D26" w:rsidRDefault="004D7D26" w:rsidP="004D7D26">
            <w:pPr>
              <w:pStyle w:val="MainText"/>
              <w:spacing w:line="240" w:lineRule="auto"/>
              <w:rPr>
                <w:rFonts w:asciiTheme="minorHAnsi" w:hAnsiTheme="minorHAnsi" w:cstheme="minorHAnsi"/>
                <w:szCs w:val="22"/>
              </w:rPr>
            </w:pPr>
            <w:r w:rsidRPr="004D7D26">
              <w:rPr>
                <w:rFonts w:asciiTheme="minorHAnsi" w:hAnsiTheme="minorHAnsi" w:cstheme="minorHAnsi"/>
                <w:szCs w:val="22"/>
              </w:rPr>
              <w:t>0207 187 7309</w:t>
            </w:r>
          </w:p>
        </w:tc>
      </w:tr>
      <w:tr w:rsidR="004D7D26" w:rsidRPr="004D7D26" w14:paraId="30077992" w14:textId="77777777" w:rsidTr="004D7D26">
        <w:tc>
          <w:tcPr>
            <w:tcW w:w="2802" w:type="dxa"/>
            <w:shd w:val="clear" w:color="auto" w:fill="auto"/>
          </w:tcPr>
          <w:p w14:paraId="33AF1FD8" w14:textId="77777777" w:rsidR="004D7D26" w:rsidRPr="004D7D26" w:rsidRDefault="004D7D26" w:rsidP="004D7D26">
            <w:pPr>
              <w:pStyle w:val="MainText"/>
              <w:spacing w:line="240" w:lineRule="auto"/>
              <w:rPr>
                <w:rFonts w:asciiTheme="minorHAnsi" w:hAnsiTheme="minorHAnsi" w:cstheme="minorHAnsi"/>
                <w:b/>
                <w:szCs w:val="22"/>
              </w:rPr>
            </w:pPr>
            <w:r w:rsidRPr="004D7D26">
              <w:rPr>
                <w:rFonts w:asciiTheme="minorHAnsi" w:hAnsiTheme="minorHAnsi" w:cstheme="minorHAnsi"/>
                <w:b/>
                <w:szCs w:val="22"/>
              </w:rPr>
              <w:t>E-mail:</w:t>
            </w:r>
          </w:p>
        </w:tc>
        <w:tc>
          <w:tcPr>
            <w:tcW w:w="6378" w:type="dxa"/>
            <w:shd w:val="clear" w:color="auto" w:fill="auto"/>
          </w:tcPr>
          <w:p w14:paraId="60657A08" w14:textId="77777777" w:rsidR="004D7D26" w:rsidRPr="004D7D26" w:rsidRDefault="00E02ED0" w:rsidP="004D7D26">
            <w:pPr>
              <w:pStyle w:val="MainText"/>
              <w:spacing w:line="240" w:lineRule="auto"/>
              <w:rPr>
                <w:rFonts w:asciiTheme="minorHAnsi" w:hAnsiTheme="minorHAnsi" w:cstheme="minorHAnsi"/>
                <w:szCs w:val="22"/>
              </w:rPr>
            </w:pPr>
            <w:hyperlink r:id="rId8" w:history="1">
              <w:r w:rsidR="00814210" w:rsidRPr="003C1239">
                <w:rPr>
                  <w:rStyle w:val="Hyperlink"/>
                  <w:rFonts w:asciiTheme="minorHAnsi" w:hAnsiTheme="minorHAnsi" w:cstheme="minorHAnsi"/>
                  <w:szCs w:val="22"/>
                </w:rPr>
                <w:t>Paul.brack@local.gov.uk</w:t>
              </w:r>
            </w:hyperlink>
          </w:p>
        </w:tc>
      </w:tr>
    </w:tbl>
    <w:p w14:paraId="6C7E1CC2" w14:textId="77777777" w:rsidR="00E6463E" w:rsidRDefault="00E6463E">
      <w:pPr>
        <w:spacing w:after="160" w:line="259" w:lineRule="auto"/>
        <w:rPr>
          <w:rFonts w:cs="Arial"/>
          <w:b/>
          <w:sz w:val="28"/>
          <w:szCs w:val="28"/>
        </w:rPr>
      </w:pPr>
      <w:r>
        <w:rPr>
          <w:rFonts w:cs="Arial"/>
          <w:sz w:val="28"/>
          <w:szCs w:val="28"/>
        </w:rPr>
        <w:br w:type="page"/>
      </w:r>
    </w:p>
    <w:p w14:paraId="31C4AFBC" w14:textId="3D223829" w:rsidR="004D7D26" w:rsidRDefault="004D7D26" w:rsidP="004D7D26">
      <w:pPr>
        <w:pStyle w:val="LGAItemNoHeading"/>
        <w:spacing w:before="240"/>
        <w:rPr>
          <w:rFonts w:ascii="Arial" w:hAnsi="Arial" w:cs="Arial"/>
          <w:sz w:val="28"/>
          <w:szCs w:val="28"/>
        </w:rPr>
      </w:pPr>
      <w:r>
        <w:rPr>
          <w:rFonts w:ascii="Arial" w:hAnsi="Arial" w:cs="Arial"/>
          <w:sz w:val="28"/>
          <w:szCs w:val="28"/>
        </w:rPr>
        <w:lastRenderedPageBreak/>
        <w:t xml:space="preserve">Annual Accounts 2015-16 and FRS102 </w:t>
      </w:r>
    </w:p>
    <w:p w14:paraId="61968055" w14:textId="77777777" w:rsidR="00E3515A" w:rsidRPr="0021114E" w:rsidRDefault="00E3515A" w:rsidP="00E3515A">
      <w:pPr>
        <w:pStyle w:val="MainText"/>
        <w:spacing w:line="240" w:lineRule="auto"/>
        <w:rPr>
          <w:rFonts w:cs="Arial"/>
          <w:szCs w:val="22"/>
        </w:rPr>
      </w:pPr>
      <w:r w:rsidRPr="0021114E">
        <w:rPr>
          <w:rFonts w:cs="Arial"/>
          <w:b/>
          <w:szCs w:val="22"/>
        </w:rPr>
        <w:t>Background</w:t>
      </w:r>
    </w:p>
    <w:p w14:paraId="7F33B68B" w14:textId="42746148" w:rsidR="00E3515A" w:rsidRDefault="004D7D26" w:rsidP="00C914A6">
      <w:pPr>
        <w:pStyle w:val="ListParagraph"/>
        <w:numPr>
          <w:ilvl w:val="0"/>
          <w:numId w:val="1"/>
        </w:numPr>
        <w:rPr>
          <w:rFonts w:cs="Arial"/>
          <w:szCs w:val="22"/>
        </w:rPr>
      </w:pPr>
      <w:r>
        <w:rPr>
          <w:rFonts w:cs="Arial"/>
          <w:szCs w:val="22"/>
        </w:rPr>
        <w:t>T</w:t>
      </w:r>
      <w:r w:rsidR="003D2631">
        <w:rPr>
          <w:rFonts w:cs="Arial"/>
          <w:szCs w:val="22"/>
        </w:rPr>
        <w:t xml:space="preserve">he Financial Reporting Council (FRC) revised financial reporting standards in the United Kingdom and Republic of Ireland.  The revisions fundamentally reformed financial reporting, replacing existing standards, one of these new Standards is FRS 102 </w:t>
      </w:r>
      <w:r>
        <w:rPr>
          <w:rFonts w:cs="Arial"/>
          <w:szCs w:val="22"/>
        </w:rPr>
        <w:t xml:space="preserve">- </w:t>
      </w:r>
      <w:r w:rsidR="003D2631">
        <w:rPr>
          <w:rFonts w:cs="Arial"/>
          <w:szCs w:val="22"/>
        </w:rPr>
        <w:t>The Financial Reporting Stan</w:t>
      </w:r>
      <w:r w:rsidR="00881610">
        <w:rPr>
          <w:rFonts w:cs="Arial"/>
          <w:szCs w:val="22"/>
        </w:rPr>
        <w:t>d</w:t>
      </w:r>
      <w:r w:rsidR="003D2631">
        <w:rPr>
          <w:rFonts w:cs="Arial"/>
          <w:szCs w:val="22"/>
        </w:rPr>
        <w:t xml:space="preserve">ard applicable in the UK and Republic of Ireland.  The objective of the Standard </w:t>
      </w:r>
      <w:r w:rsidR="007A3826">
        <w:rPr>
          <w:rFonts w:cs="Arial"/>
          <w:szCs w:val="22"/>
        </w:rPr>
        <w:t>is</w:t>
      </w:r>
      <w:r w:rsidR="003D2631">
        <w:rPr>
          <w:rFonts w:cs="Arial"/>
          <w:szCs w:val="22"/>
        </w:rPr>
        <w:t xml:space="preserve"> to</w:t>
      </w:r>
      <w:r w:rsidR="00881610">
        <w:rPr>
          <w:rFonts w:cs="Arial"/>
          <w:szCs w:val="22"/>
        </w:rPr>
        <w:t xml:space="preserve"> enable users of the accounts to receive high-quality understandable financial reporting proportionate to the size and complexity of the entity and users’ information needs.  </w:t>
      </w:r>
      <w:r w:rsidR="003D2631">
        <w:rPr>
          <w:rFonts w:cs="Arial"/>
          <w:szCs w:val="22"/>
        </w:rPr>
        <w:t xml:space="preserve"> </w:t>
      </w:r>
    </w:p>
    <w:p w14:paraId="5A62E771" w14:textId="4072CB66" w:rsidR="00E6463E" w:rsidRDefault="00231CF1" w:rsidP="00A306F5">
      <w:pPr>
        <w:pStyle w:val="ListParagraph"/>
        <w:numPr>
          <w:ilvl w:val="0"/>
          <w:numId w:val="1"/>
        </w:numPr>
        <w:rPr>
          <w:rFonts w:cs="Arial"/>
          <w:szCs w:val="22"/>
        </w:rPr>
      </w:pPr>
      <w:r>
        <w:rPr>
          <w:rFonts w:cs="Arial"/>
          <w:szCs w:val="22"/>
        </w:rPr>
        <w:t>Appendix</w:t>
      </w:r>
      <w:r w:rsidR="00E6463E">
        <w:rPr>
          <w:rFonts w:cs="Arial"/>
          <w:szCs w:val="22"/>
        </w:rPr>
        <w:t xml:space="preserve"> A to this report</w:t>
      </w:r>
      <w:r w:rsidR="00446038">
        <w:rPr>
          <w:rFonts w:cs="Arial"/>
          <w:szCs w:val="22"/>
        </w:rPr>
        <w:t xml:space="preserve"> show</w:t>
      </w:r>
      <w:r>
        <w:rPr>
          <w:rFonts w:cs="Arial"/>
          <w:szCs w:val="22"/>
        </w:rPr>
        <w:t>s</w:t>
      </w:r>
      <w:r w:rsidR="00446038">
        <w:rPr>
          <w:rFonts w:cs="Arial"/>
          <w:szCs w:val="22"/>
        </w:rPr>
        <w:t xml:space="preserve"> revised Accounting Policies for the Improvement and Develop</w:t>
      </w:r>
      <w:r w:rsidR="00E6463E">
        <w:rPr>
          <w:rFonts w:cs="Arial"/>
          <w:szCs w:val="22"/>
        </w:rPr>
        <w:t xml:space="preserve">ment Agency to comply with these new standards. Where there are changes to the existing policies the text has been highlighted. </w:t>
      </w:r>
    </w:p>
    <w:p w14:paraId="029E71F9" w14:textId="0EF1CFFD" w:rsidR="00A306F5" w:rsidRDefault="00446038" w:rsidP="00A306F5">
      <w:pPr>
        <w:pStyle w:val="ListParagraph"/>
        <w:numPr>
          <w:ilvl w:val="0"/>
          <w:numId w:val="1"/>
        </w:numPr>
        <w:rPr>
          <w:rFonts w:cs="Arial"/>
          <w:szCs w:val="22"/>
        </w:rPr>
      </w:pPr>
      <w:r>
        <w:rPr>
          <w:rFonts w:cs="Arial"/>
          <w:szCs w:val="22"/>
        </w:rPr>
        <w:t xml:space="preserve">The policies also include </w:t>
      </w:r>
      <w:r w:rsidR="00A306F5">
        <w:rPr>
          <w:rFonts w:cs="Arial"/>
          <w:szCs w:val="22"/>
        </w:rPr>
        <w:t>the c</w:t>
      </w:r>
      <w:r w:rsidR="00A306F5" w:rsidRPr="00A306F5">
        <w:rPr>
          <w:rFonts w:cs="Arial"/>
          <w:szCs w:val="22"/>
        </w:rPr>
        <w:t xml:space="preserve">hange in Accounting Policy that will be required in order to present a true and fair view in the LGA's consolidated accounts and those of the Improvement and Development Agency. </w:t>
      </w:r>
      <w:r w:rsidR="00024597" w:rsidRPr="00D85793">
        <w:rPr>
          <w:rFonts w:cs="Arial"/>
          <w:szCs w:val="22"/>
        </w:rPr>
        <w:t xml:space="preserve">The issue relates to the consolidation of the Public Sector Audit Appointments Limited Company’s </w:t>
      </w:r>
      <w:r w:rsidR="00024597">
        <w:rPr>
          <w:rFonts w:cs="Arial"/>
          <w:szCs w:val="22"/>
        </w:rPr>
        <w:t>(PSAA) accounts into the consolidated</w:t>
      </w:r>
      <w:r w:rsidR="00024597" w:rsidRPr="00D85793">
        <w:rPr>
          <w:rFonts w:cs="Arial"/>
          <w:szCs w:val="22"/>
        </w:rPr>
        <w:t xml:space="preserve"> accounts</w:t>
      </w:r>
      <w:r w:rsidR="00024597">
        <w:rPr>
          <w:rFonts w:cs="Arial"/>
          <w:szCs w:val="22"/>
        </w:rPr>
        <w:t>, creating a significant increase in income and expenditure of the group, without improving the consolidated accounts financial position.</w:t>
      </w:r>
    </w:p>
    <w:p w14:paraId="44C1F928" w14:textId="77777777" w:rsidR="007A3826" w:rsidRPr="00024597" w:rsidRDefault="007A3826" w:rsidP="007A3826">
      <w:pPr>
        <w:pStyle w:val="ListParagraph"/>
        <w:numPr>
          <w:ilvl w:val="0"/>
          <w:numId w:val="1"/>
        </w:numPr>
        <w:rPr>
          <w:rFonts w:cs="Arial"/>
          <w:szCs w:val="22"/>
        </w:rPr>
      </w:pPr>
      <w:r>
        <w:rPr>
          <w:rFonts w:cs="Arial"/>
          <w:szCs w:val="22"/>
        </w:rPr>
        <w:t xml:space="preserve">PSAA </w:t>
      </w:r>
      <w:r w:rsidRPr="00024597">
        <w:rPr>
          <w:rFonts w:cs="Arial"/>
          <w:szCs w:val="22"/>
        </w:rPr>
        <w:t xml:space="preserve">is a wholly owned subsidiary and in normal circumstances would be consolidated. We have asked for confirmation from our external auditors that </w:t>
      </w:r>
      <w:r>
        <w:rPr>
          <w:rFonts w:cs="Arial"/>
          <w:szCs w:val="22"/>
        </w:rPr>
        <w:t xml:space="preserve">subject to the approval of the </w:t>
      </w:r>
      <w:r w:rsidRPr="00024597">
        <w:rPr>
          <w:rFonts w:cs="Arial"/>
          <w:szCs w:val="22"/>
        </w:rPr>
        <w:t>boards</w:t>
      </w:r>
      <w:r>
        <w:rPr>
          <w:rFonts w:cs="Arial"/>
          <w:szCs w:val="22"/>
        </w:rPr>
        <w:t>,</w:t>
      </w:r>
      <w:r w:rsidRPr="00024597">
        <w:rPr>
          <w:rFonts w:cs="Arial"/>
          <w:szCs w:val="22"/>
        </w:rPr>
        <w:t xml:space="preserve"> the above entities do not to consolidate PSAA’s numbers for the following reasons:</w:t>
      </w:r>
    </w:p>
    <w:p w14:paraId="608048CC" w14:textId="5B3382F7" w:rsidR="007A3826" w:rsidRPr="00024597" w:rsidRDefault="00604788" w:rsidP="007A3826">
      <w:pPr>
        <w:pStyle w:val="ListParagraph"/>
        <w:numPr>
          <w:ilvl w:val="1"/>
          <w:numId w:val="1"/>
        </w:numPr>
        <w:rPr>
          <w:rFonts w:cs="Arial"/>
          <w:szCs w:val="22"/>
        </w:rPr>
      </w:pPr>
      <w:r>
        <w:rPr>
          <w:rFonts w:cs="Arial"/>
          <w:szCs w:val="22"/>
        </w:rPr>
        <w:t>The LGA/IDe</w:t>
      </w:r>
      <w:r w:rsidR="007A3826" w:rsidRPr="00024597">
        <w:rPr>
          <w:rFonts w:cs="Arial"/>
          <w:szCs w:val="22"/>
        </w:rPr>
        <w:t xml:space="preserve">A do </w:t>
      </w:r>
      <w:r>
        <w:rPr>
          <w:rFonts w:cs="Arial"/>
          <w:szCs w:val="22"/>
        </w:rPr>
        <w:t>not control the entity - the IDe</w:t>
      </w:r>
      <w:r w:rsidR="007A3826" w:rsidRPr="00024597">
        <w:rPr>
          <w:rFonts w:cs="Arial"/>
          <w:szCs w:val="22"/>
        </w:rPr>
        <w:t>A appointed the first director, the rest has been down to the company itself, which is fiercely independent of the LGA.</w:t>
      </w:r>
    </w:p>
    <w:p w14:paraId="3475AF13" w14:textId="77777777" w:rsidR="007A3826" w:rsidRPr="00024597" w:rsidRDefault="007A3826" w:rsidP="007A3826">
      <w:pPr>
        <w:pStyle w:val="ListParagraph"/>
        <w:numPr>
          <w:ilvl w:val="1"/>
          <w:numId w:val="1"/>
        </w:numPr>
        <w:rPr>
          <w:rFonts w:cs="Arial"/>
          <w:szCs w:val="22"/>
        </w:rPr>
      </w:pPr>
      <w:r w:rsidRPr="00024597">
        <w:rPr>
          <w:rFonts w:cs="Arial"/>
          <w:szCs w:val="22"/>
        </w:rPr>
        <w:t>The Group is not able to share in assets or profits of the company, and surplus funds at the end of the arrangement with DCLG must be returned to the clients, as outlined in the memorandum of understanding.</w:t>
      </w:r>
    </w:p>
    <w:p w14:paraId="21CA3423" w14:textId="77777777" w:rsidR="007A3826" w:rsidRPr="00024597" w:rsidRDefault="007A3826" w:rsidP="007A3826">
      <w:pPr>
        <w:pStyle w:val="ListParagraph"/>
        <w:numPr>
          <w:ilvl w:val="1"/>
          <w:numId w:val="1"/>
        </w:numPr>
        <w:rPr>
          <w:rFonts w:cs="Arial"/>
          <w:szCs w:val="22"/>
        </w:rPr>
      </w:pPr>
      <w:r>
        <w:rPr>
          <w:rFonts w:cs="Arial"/>
          <w:szCs w:val="22"/>
        </w:rPr>
        <w:t xml:space="preserve">Removal will allow the </w:t>
      </w:r>
      <w:r w:rsidRPr="00024597">
        <w:rPr>
          <w:rFonts w:cs="Arial"/>
          <w:szCs w:val="22"/>
        </w:rPr>
        <w:t xml:space="preserve">LGA </w:t>
      </w:r>
      <w:r>
        <w:rPr>
          <w:rFonts w:cs="Arial"/>
          <w:szCs w:val="22"/>
        </w:rPr>
        <w:t xml:space="preserve">financial </w:t>
      </w:r>
      <w:r w:rsidRPr="00024597">
        <w:rPr>
          <w:rFonts w:cs="Arial"/>
          <w:szCs w:val="22"/>
        </w:rPr>
        <w:t>statements to show a true and fair view</w:t>
      </w:r>
      <w:r>
        <w:rPr>
          <w:rFonts w:cs="Arial"/>
          <w:szCs w:val="22"/>
        </w:rPr>
        <w:t>. A</w:t>
      </w:r>
      <w:r w:rsidRPr="00024597">
        <w:rPr>
          <w:rFonts w:cs="Arial"/>
          <w:szCs w:val="22"/>
        </w:rPr>
        <w:t xml:space="preserve">dding an expected £82m to both income and expenditure, </w:t>
      </w:r>
      <w:r>
        <w:rPr>
          <w:rFonts w:cs="Arial"/>
          <w:szCs w:val="22"/>
        </w:rPr>
        <w:t>relating to PSAA</w:t>
      </w:r>
      <w:r w:rsidRPr="00024597">
        <w:rPr>
          <w:rFonts w:cs="Arial"/>
          <w:szCs w:val="22"/>
        </w:rPr>
        <w:t xml:space="preserve"> would give the impression that the group is a much larger organisation than it really is.</w:t>
      </w:r>
    </w:p>
    <w:p w14:paraId="6BDFA04F" w14:textId="5BB6B021" w:rsidR="00024597" w:rsidRPr="00024597" w:rsidRDefault="00024597" w:rsidP="00024597">
      <w:pPr>
        <w:pStyle w:val="ListParagraph"/>
        <w:numPr>
          <w:ilvl w:val="0"/>
          <w:numId w:val="1"/>
        </w:numPr>
        <w:rPr>
          <w:rFonts w:cs="Arial"/>
          <w:szCs w:val="22"/>
        </w:rPr>
      </w:pPr>
      <w:r w:rsidRPr="00024597">
        <w:rPr>
          <w:rFonts w:cs="Arial"/>
          <w:szCs w:val="22"/>
        </w:rPr>
        <w:t xml:space="preserve">We have received confirmation from PKF Littlejohn </w:t>
      </w:r>
      <w:r>
        <w:rPr>
          <w:rFonts w:cs="Arial"/>
          <w:szCs w:val="22"/>
        </w:rPr>
        <w:t xml:space="preserve">our external auditor </w:t>
      </w:r>
      <w:r w:rsidRPr="00024597">
        <w:rPr>
          <w:rFonts w:cs="Arial"/>
          <w:szCs w:val="22"/>
        </w:rPr>
        <w:t xml:space="preserve">that the above change is acceptable.  </w:t>
      </w:r>
    </w:p>
    <w:p w14:paraId="2C8C73A8" w14:textId="38E14E06" w:rsidR="00075DA6" w:rsidRDefault="00075DA6" w:rsidP="00075DA6">
      <w:pPr>
        <w:pStyle w:val="ListParagraph"/>
        <w:numPr>
          <w:ilvl w:val="0"/>
          <w:numId w:val="1"/>
        </w:numPr>
        <w:rPr>
          <w:rFonts w:cs="Arial"/>
          <w:szCs w:val="22"/>
        </w:rPr>
      </w:pPr>
      <w:r>
        <w:rPr>
          <w:rFonts w:cs="Arial"/>
          <w:szCs w:val="22"/>
        </w:rPr>
        <w:t>The Audit Committee has reviewed and</w:t>
      </w:r>
      <w:r w:rsidRPr="00075DA6">
        <w:rPr>
          <w:rFonts w:cs="Arial"/>
          <w:szCs w:val="22"/>
        </w:rPr>
        <w:t xml:space="preserve"> approve the amended policies for onward recommendation to the Leadership Board and the Improvement and Development Agency and Local Government Association Properties Company Boards.</w:t>
      </w:r>
    </w:p>
    <w:p w14:paraId="3574EDB7" w14:textId="77777777" w:rsidR="00D85793" w:rsidRDefault="00D85793" w:rsidP="00D85793">
      <w:pPr>
        <w:rPr>
          <w:rFonts w:asciiTheme="majorHAnsi" w:hAnsiTheme="majorHAnsi" w:cstheme="majorHAnsi"/>
          <w:b/>
          <w:szCs w:val="22"/>
        </w:rPr>
      </w:pPr>
      <w:r>
        <w:rPr>
          <w:rFonts w:asciiTheme="majorHAnsi" w:hAnsiTheme="majorHAnsi" w:cstheme="majorHAnsi"/>
          <w:b/>
          <w:szCs w:val="22"/>
        </w:rPr>
        <w:t>Recommendation</w:t>
      </w:r>
    </w:p>
    <w:p w14:paraId="08C8E840" w14:textId="77777777" w:rsidR="00604788" w:rsidRDefault="00604788" w:rsidP="00D85793">
      <w:pPr>
        <w:rPr>
          <w:rFonts w:asciiTheme="majorHAnsi" w:hAnsiTheme="majorHAnsi" w:cstheme="majorHAnsi"/>
          <w:b/>
          <w:szCs w:val="22"/>
        </w:rPr>
      </w:pPr>
    </w:p>
    <w:p w14:paraId="7FFB4B60" w14:textId="7275CD0B" w:rsidR="00F52BDF" w:rsidRPr="00231CF1" w:rsidRDefault="005D0D57" w:rsidP="00E96FF9">
      <w:pPr>
        <w:pStyle w:val="ListParagraph"/>
        <w:numPr>
          <w:ilvl w:val="1"/>
          <w:numId w:val="1"/>
        </w:numPr>
        <w:spacing w:after="160" w:line="259" w:lineRule="auto"/>
        <w:rPr>
          <w:rFonts w:cs="Arial"/>
          <w:szCs w:val="22"/>
        </w:rPr>
      </w:pPr>
      <w:r w:rsidRPr="00231CF1">
        <w:rPr>
          <w:rFonts w:cs="Arial"/>
          <w:szCs w:val="22"/>
        </w:rPr>
        <w:t xml:space="preserve">The </w:t>
      </w:r>
      <w:r w:rsidR="00604788">
        <w:rPr>
          <w:rFonts w:cs="Arial"/>
          <w:szCs w:val="22"/>
        </w:rPr>
        <w:t>IDe</w:t>
      </w:r>
      <w:r w:rsidR="00231CF1" w:rsidRPr="00231CF1">
        <w:rPr>
          <w:rFonts w:cs="Arial"/>
          <w:szCs w:val="22"/>
        </w:rPr>
        <w:t>A</w:t>
      </w:r>
      <w:r w:rsidR="00075DA6" w:rsidRPr="00231CF1">
        <w:rPr>
          <w:rFonts w:cs="Arial"/>
          <w:szCs w:val="22"/>
        </w:rPr>
        <w:t xml:space="preserve"> Board is requested</w:t>
      </w:r>
      <w:r w:rsidR="00231CF1" w:rsidRPr="00231CF1">
        <w:rPr>
          <w:rFonts w:cs="Arial"/>
          <w:szCs w:val="22"/>
        </w:rPr>
        <w:t xml:space="preserve"> to </w:t>
      </w:r>
      <w:r w:rsidR="00231CF1">
        <w:rPr>
          <w:rFonts w:cs="Arial"/>
          <w:szCs w:val="22"/>
        </w:rPr>
        <w:t>a</w:t>
      </w:r>
      <w:r w:rsidRPr="00231CF1">
        <w:rPr>
          <w:rFonts w:cs="Arial"/>
          <w:szCs w:val="22"/>
        </w:rPr>
        <w:t xml:space="preserve">pprove the amended </w:t>
      </w:r>
      <w:r w:rsidR="00231CF1">
        <w:rPr>
          <w:rFonts w:cs="Arial"/>
          <w:szCs w:val="22"/>
        </w:rPr>
        <w:t xml:space="preserve">accounting </w:t>
      </w:r>
      <w:r w:rsidRPr="00231CF1">
        <w:rPr>
          <w:rFonts w:cs="Arial"/>
          <w:szCs w:val="22"/>
        </w:rPr>
        <w:t xml:space="preserve">policies </w:t>
      </w:r>
      <w:r w:rsidR="000336D2" w:rsidRPr="00231CF1">
        <w:rPr>
          <w:rFonts w:cs="Arial"/>
          <w:szCs w:val="22"/>
        </w:rPr>
        <w:t>for the Improvement and Development Agency.</w:t>
      </w:r>
      <w:r w:rsidR="00F52BDF" w:rsidRPr="00231CF1">
        <w:rPr>
          <w:rFonts w:cs="Arial"/>
          <w:szCs w:val="22"/>
        </w:rPr>
        <w:br w:type="page"/>
      </w:r>
    </w:p>
    <w:p w14:paraId="77198AB2" w14:textId="148F18A9" w:rsidR="00053E09" w:rsidRPr="00C554C3" w:rsidRDefault="00053E09" w:rsidP="00604788">
      <w:pPr>
        <w:pStyle w:val="StyleHeading1Arial"/>
        <w:numPr>
          <w:ilvl w:val="0"/>
          <w:numId w:val="0"/>
        </w:numPr>
      </w:pPr>
      <w:r w:rsidRPr="00C554C3">
        <w:lastRenderedPageBreak/>
        <w:t xml:space="preserve">APPENDIX </w:t>
      </w:r>
      <w:r w:rsidR="00231CF1">
        <w:t>A</w:t>
      </w:r>
      <w:r w:rsidR="00604788">
        <w:t xml:space="preserve"> - IDe</w:t>
      </w:r>
      <w:r w:rsidRPr="00C554C3">
        <w:t xml:space="preserve">A ACCOUNTS </w:t>
      </w:r>
      <w:r w:rsidR="00604788">
        <w:t xml:space="preserve">- </w:t>
      </w:r>
      <w:r w:rsidRPr="00C554C3">
        <w:t>ACCOUNTING POLICIES</w:t>
      </w:r>
    </w:p>
    <w:p w14:paraId="29EAC7FA" w14:textId="77777777" w:rsidR="00053E09" w:rsidRPr="009D05DD" w:rsidRDefault="00053E09" w:rsidP="00604788">
      <w:pPr>
        <w:pStyle w:val="StyleHeading1Arial"/>
        <w:numPr>
          <w:ilvl w:val="0"/>
          <w:numId w:val="0"/>
        </w:numPr>
      </w:pPr>
      <w:bookmarkStart w:id="0" w:name="_Toc353464906"/>
      <w:r w:rsidRPr="00C554C3">
        <w:t>ACCOUNTING POLICIES</w:t>
      </w:r>
      <w:bookmarkEnd w:id="0"/>
    </w:p>
    <w:p w14:paraId="2F06784B" w14:textId="77777777" w:rsidR="00053E09" w:rsidRPr="005D0D57" w:rsidRDefault="00053E09" w:rsidP="00053E09">
      <w:pPr>
        <w:pStyle w:val="NormalIndent"/>
        <w:spacing w:after="0"/>
        <w:ind w:left="0"/>
        <w:rPr>
          <w:rFonts w:ascii="Arial" w:hAnsi="Arial" w:cs="Arial"/>
          <w:sz w:val="22"/>
          <w:szCs w:val="22"/>
        </w:rPr>
      </w:pPr>
      <w:r w:rsidRPr="005D0D57">
        <w:rPr>
          <w:rFonts w:ascii="Arial" w:hAnsi="Arial" w:cs="Arial"/>
          <w:sz w:val="22"/>
          <w:szCs w:val="22"/>
        </w:rPr>
        <w:t>The financial statements are prepared in accordance with applicable United Kingdom accounting standards (United Kingdom Generally Accepted Accounting Practice). The particular accounting policies adopted are described below.</w:t>
      </w:r>
    </w:p>
    <w:p w14:paraId="2641B11C" w14:textId="77777777" w:rsidR="00053E09" w:rsidRPr="005D0D57" w:rsidRDefault="00053E09" w:rsidP="00053E09">
      <w:pPr>
        <w:pStyle w:val="NormalIndent"/>
        <w:spacing w:after="0"/>
        <w:ind w:left="0"/>
        <w:outlineLvl w:val="0"/>
        <w:rPr>
          <w:rFonts w:ascii="Arial" w:hAnsi="Arial" w:cs="Arial"/>
          <w:b/>
          <w:sz w:val="22"/>
          <w:szCs w:val="22"/>
        </w:rPr>
      </w:pPr>
    </w:p>
    <w:p w14:paraId="41344D2C" w14:textId="77777777" w:rsidR="00053E09" w:rsidRPr="005D0D57" w:rsidRDefault="00053E09" w:rsidP="00053E09">
      <w:pPr>
        <w:pStyle w:val="NormalIndent"/>
        <w:spacing w:after="80"/>
        <w:ind w:left="0"/>
        <w:outlineLvl w:val="0"/>
        <w:rPr>
          <w:rFonts w:ascii="Arial" w:hAnsi="Arial" w:cs="Arial"/>
          <w:b/>
          <w:sz w:val="22"/>
          <w:szCs w:val="22"/>
        </w:rPr>
      </w:pPr>
      <w:bookmarkStart w:id="1" w:name="_Toc297128217"/>
      <w:bookmarkStart w:id="2" w:name="_Toc297131355"/>
      <w:r w:rsidRPr="005D0D57">
        <w:rPr>
          <w:rFonts w:ascii="Arial" w:hAnsi="Arial" w:cs="Arial"/>
          <w:b/>
          <w:sz w:val="22"/>
          <w:szCs w:val="22"/>
        </w:rPr>
        <w:t>Accounting convention</w:t>
      </w:r>
      <w:bookmarkEnd w:id="1"/>
      <w:bookmarkEnd w:id="2"/>
    </w:p>
    <w:p w14:paraId="0E816E33" w14:textId="77777777" w:rsidR="00053E09" w:rsidRPr="005D0D57" w:rsidRDefault="00053E09" w:rsidP="00053E09">
      <w:pPr>
        <w:pStyle w:val="NormalIndent"/>
        <w:spacing w:after="0"/>
        <w:ind w:left="0"/>
        <w:rPr>
          <w:rFonts w:ascii="Arial" w:hAnsi="Arial" w:cs="Arial"/>
          <w:sz w:val="22"/>
          <w:szCs w:val="22"/>
        </w:rPr>
      </w:pPr>
      <w:r w:rsidRPr="005D0D57">
        <w:rPr>
          <w:rFonts w:ascii="Arial" w:hAnsi="Arial" w:cs="Arial"/>
          <w:sz w:val="22"/>
          <w:szCs w:val="22"/>
        </w:rPr>
        <w:t>The financial statements are prepared under the historical cost convention.</w:t>
      </w:r>
    </w:p>
    <w:p w14:paraId="166D4C82" w14:textId="77777777" w:rsidR="00053E09" w:rsidRPr="005D0D57" w:rsidRDefault="00053E09" w:rsidP="00053E09">
      <w:pPr>
        <w:pStyle w:val="NormalIndent"/>
        <w:spacing w:after="0"/>
        <w:ind w:left="0"/>
        <w:outlineLvl w:val="0"/>
        <w:rPr>
          <w:rFonts w:ascii="Arial" w:hAnsi="Arial" w:cs="Arial"/>
          <w:b/>
          <w:sz w:val="22"/>
          <w:szCs w:val="22"/>
        </w:rPr>
      </w:pPr>
    </w:p>
    <w:p w14:paraId="7A1CD09E" w14:textId="77777777" w:rsidR="00053E09" w:rsidRPr="005D0D57" w:rsidRDefault="00053E09" w:rsidP="00053E09">
      <w:pPr>
        <w:pStyle w:val="NormalIndent"/>
        <w:spacing w:after="80"/>
        <w:ind w:left="0"/>
        <w:outlineLvl w:val="0"/>
        <w:rPr>
          <w:rFonts w:ascii="Arial" w:hAnsi="Arial" w:cs="Arial"/>
          <w:b/>
          <w:sz w:val="22"/>
          <w:szCs w:val="22"/>
        </w:rPr>
      </w:pPr>
      <w:r w:rsidRPr="005D0D57">
        <w:rPr>
          <w:rFonts w:ascii="Arial" w:hAnsi="Arial" w:cs="Arial"/>
          <w:b/>
          <w:sz w:val="22"/>
          <w:szCs w:val="22"/>
        </w:rPr>
        <w:t>Subsidiary Undertaking</w:t>
      </w:r>
    </w:p>
    <w:p w14:paraId="3E7C42D9" w14:textId="77777777" w:rsidR="00053E09" w:rsidRDefault="00053E09" w:rsidP="00053E09">
      <w:pPr>
        <w:pStyle w:val="NormalIndent"/>
        <w:spacing w:after="0"/>
        <w:ind w:left="0"/>
        <w:rPr>
          <w:rFonts w:ascii="Arial" w:hAnsi="Arial" w:cs="Arial"/>
          <w:sz w:val="22"/>
          <w:szCs w:val="22"/>
        </w:rPr>
      </w:pPr>
      <w:r w:rsidRPr="005D0D57">
        <w:rPr>
          <w:rFonts w:ascii="Arial" w:hAnsi="Arial" w:cs="Arial"/>
          <w:sz w:val="22"/>
          <w:szCs w:val="22"/>
        </w:rPr>
        <w:t xml:space="preserve">The Company has two subsidiaries, Local Government Information House Ltd and Public Sector Audit Appointments Ltd.  Consolidated accounts are not prepared as the Company is itself a subsidiary of the Local Government Association, for which consolidated accounts are prepared.  The Company’s place of business is Local Government House, Smith Square, London SW1P 3HZ. </w:t>
      </w:r>
    </w:p>
    <w:p w14:paraId="401D45A4" w14:textId="77777777" w:rsidR="00053E09" w:rsidRDefault="00053E09" w:rsidP="00053E09">
      <w:pPr>
        <w:pStyle w:val="NormalIndent"/>
        <w:spacing w:after="0"/>
        <w:ind w:left="0"/>
        <w:rPr>
          <w:rFonts w:ascii="Arial" w:hAnsi="Arial" w:cs="Arial"/>
          <w:sz w:val="22"/>
          <w:szCs w:val="22"/>
        </w:rPr>
      </w:pPr>
    </w:p>
    <w:p w14:paraId="71CD17B1" w14:textId="50B1D31A" w:rsidR="00053E09" w:rsidRPr="005D0D57" w:rsidRDefault="00053E09" w:rsidP="00053E09">
      <w:pPr>
        <w:jc w:val="both"/>
        <w:rPr>
          <w:rFonts w:cs="Arial"/>
          <w:szCs w:val="22"/>
        </w:rPr>
      </w:pPr>
      <w:r w:rsidRPr="00604788">
        <w:rPr>
          <w:rFonts w:cs="Arial"/>
          <w:szCs w:val="22"/>
        </w:rPr>
        <w:t xml:space="preserve">The accounts for Public Sector Audit Appointments Limited (PSAA) are not consolidated into these statements </w:t>
      </w:r>
      <w:r w:rsidR="007A3826" w:rsidRPr="00604788">
        <w:rPr>
          <w:rFonts w:cs="Arial"/>
          <w:szCs w:val="22"/>
        </w:rPr>
        <w:t xml:space="preserve">because the IDEA does not </w:t>
      </w:r>
      <w:r w:rsidRPr="00604788">
        <w:rPr>
          <w:rFonts w:cs="Arial"/>
          <w:szCs w:val="22"/>
        </w:rPr>
        <w:t xml:space="preserve">exercise or have the ability to exercise control over PSAA and </w:t>
      </w:r>
      <w:r w:rsidR="007A3826" w:rsidRPr="00604788">
        <w:rPr>
          <w:rFonts w:cs="Arial"/>
          <w:szCs w:val="22"/>
        </w:rPr>
        <w:t>is</w:t>
      </w:r>
      <w:r w:rsidRPr="00604788">
        <w:rPr>
          <w:rFonts w:cs="Arial"/>
          <w:szCs w:val="22"/>
        </w:rPr>
        <w:t xml:space="preserve"> not in a position to benefit from its results and financial performance.</w:t>
      </w:r>
    </w:p>
    <w:p w14:paraId="6412C374" w14:textId="77777777" w:rsidR="00053E09" w:rsidRPr="005D0D57" w:rsidRDefault="00053E09" w:rsidP="00053E09">
      <w:pPr>
        <w:pStyle w:val="NormalIndent"/>
        <w:spacing w:after="0"/>
        <w:ind w:left="0"/>
        <w:outlineLvl w:val="0"/>
        <w:rPr>
          <w:rFonts w:ascii="Arial" w:hAnsi="Arial" w:cs="Arial"/>
          <w:b/>
          <w:sz w:val="22"/>
          <w:szCs w:val="22"/>
        </w:rPr>
      </w:pPr>
    </w:p>
    <w:p w14:paraId="3EE1378C" w14:textId="77777777" w:rsidR="00053E09" w:rsidRPr="005D0D57" w:rsidRDefault="00053E09" w:rsidP="00053E09">
      <w:pPr>
        <w:pStyle w:val="NormalIndent"/>
        <w:spacing w:after="80"/>
        <w:ind w:left="0"/>
        <w:outlineLvl w:val="0"/>
        <w:rPr>
          <w:rFonts w:ascii="Arial" w:hAnsi="Arial" w:cs="Arial"/>
          <w:b/>
          <w:sz w:val="22"/>
          <w:szCs w:val="22"/>
        </w:rPr>
      </w:pPr>
      <w:bookmarkStart w:id="3" w:name="_Toc297128219"/>
      <w:bookmarkStart w:id="4" w:name="_Toc297131357"/>
      <w:r w:rsidRPr="005D0D57">
        <w:rPr>
          <w:rFonts w:ascii="Arial" w:hAnsi="Arial" w:cs="Arial"/>
          <w:b/>
          <w:sz w:val="22"/>
          <w:szCs w:val="22"/>
        </w:rPr>
        <w:t>Going Concern</w:t>
      </w:r>
    </w:p>
    <w:p w14:paraId="0B3AA1A0" w14:textId="6973E9B3" w:rsidR="00806D1B" w:rsidRPr="00E02ED0" w:rsidRDefault="00053E09" w:rsidP="00053E09">
      <w:pPr>
        <w:pStyle w:val="NormalIndent"/>
        <w:ind w:left="0"/>
        <w:rPr>
          <w:rFonts w:ascii="Arial" w:hAnsi="Arial" w:cs="Arial"/>
          <w:sz w:val="22"/>
          <w:szCs w:val="22"/>
        </w:rPr>
      </w:pPr>
      <w:r w:rsidRPr="005D0D57">
        <w:rPr>
          <w:rFonts w:ascii="Arial" w:hAnsi="Arial" w:cs="Arial"/>
          <w:sz w:val="22"/>
          <w:szCs w:val="22"/>
        </w:rPr>
        <w:t>The Company has net liabilities, after accounting for the defined benefit pension scheme deficits, of £75.356 million as at 31 March 2015.  Thi</w:t>
      </w:r>
      <w:bookmarkStart w:id="5" w:name="_GoBack"/>
      <w:bookmarkEnd w:id="5"/>
      <w:r w:rsidRPr="005D0D57">
        <w:rPr>
          <w:rFonts w:ascii="Arial" w:hAnsi="Arial" w:cs="Arial"/>
          <w:sz w:val="22"/>
          <w:szCs w:val="22"/>
        </w:rPr>
        <w:t xml:space="preserve">s position includes an actuarial estimate of the pension liabilities at the balance sheet date.  The Company pays amounts into the schemes, as prescribed by the actuaries (note </w:t>
      </w:r>
      <w:r w:rsidR="00D02534">
        <w:rPr>
          <w:rFonts w:ascii="Arial" w:hAnsi="Arial" w:cs="Arial"/>
          <w:sz w:val="22"/>
          <w:szCs w:val="22"/>
        </w:rPr>
        <w:t>14</w:t>
      </w:r>
      <w:r w:rsidRPr="005D0D57">
        <w:rPr>
          <w:rFonts w:ascii="Arial" w:hAnsi="Arial" w:cs="Arial"/>
          <w:sz w:val="22"/>
          <w:szCs w:val="22"/>
        </w:rPr>
        <w:t xml:space="preserve">), in order to eliminate this deficit over a maximum of 15 years.  The unfunded pension deficits are being repaid over the remaining lives of the pensioners concerned as detailed in note </w:t>
      </w:r>
      <w:r w:rsidR="00D02534">
        <w:rPr>
          <w:rFonts w:ascii="Arial" w:hAnsi="Arial" w:cs="Arial"/>
          <w:sz w:val="22"/>
          <w:szCs w:val="22"/>
        </w:rPr>
        <w:t>14</w:t>
      </w:r>
      <w:r w:rsidR="00E02ED0">
        <w:rPr>
          <w:rFonts w:ascii="Arial" w:hAnsi="Arial" w:cs="Arial"/>
          <w:sz w:val="22"/>
          <w:szCs w:val="22"/>
        </w:rPr>
        <w:t xml:space="preserve">. </w:t>
      </w:r>
      <w:r w:rsidRPr="005D0D57">
        <w:rPr>
          <w:rFonts w:ascii="Arial" w:hAnsi="Arial" w:cs="Arial"/>
          <w:sz w:val="22"/>
          <w:szCs w:val="22"/>
        </w:rPr>
        <w:t xml:space="preserve"> </w:t>
      </w:r>
    </w:p>
    <w:p w14:paraId="19C09575" w14:textId="50FC5FC4" w:rsidR="00053E09" w:rsidRPr="005D0D57" w:rsidRDefault="00053E09" w:rsidP="00053E09">
      <w:pPr>
        <w:pStyle w:val="NormalIndent"/>
        <w:ind w:left="0"/>
        <w:rPr>
          <w:rFonts w:ascii="Arial" w:hAnsi="Arial" w:cs="Arial"/>
          <w:sz w:val="22"/>
          <w:szCs w:val="22"/>
        </w:rPr>
      </w:pPr>
      <w:r w:rsidRPr="005D0D57">
        <w:rPr>
          <w:rFonts w:ascii="Arial" w:hAnsi="Arial" w:cs="Arial"/>
          <w:sz w:val="22"/>
          <w:szCs w:val="22"/>
        </w:rPr>
        <w:t>Under the arrangements agreed with the government following formal consultation, the Company became the sole specified body entitled to receive Revenue Support Grant (RSG) top-slice funding with effect from 1 April 2011.  This funding is received on behalf of the Local Government Association and its related bodies.  The level of funding has been formally determined by parliament for the year to 31 March 2016. Funding for the Company’s principal grant-funded programmes has also been agreed by the funders.  This secures the majority of the Company’s income for the foreseeable future and the Directors have therefore adopted the going concern basis for the preparation of these accounts.</w:t>
      </w:r>
      <w:bookmarkEnd w:id="3"/>
      <w:bookmarkEnd w:id="4"/>
    </w:p>
    <w:p w14:paraId="0C3256B0" w14:textId="77777777" w:rsidR="00053E09" w:rsidRPr="005D0D57" w:rsidRDefault="00053E09" w:rsidP="00053E09">
      <w:pPr>
        <w:pStyle w:val="NormalIndent"/>
        <w:spacing w:after="80"/>
        <w:ind w:left="0"/>
        <w:outlineLvl w:val="0"/>
        <w:rPr>
          <w:rFonts w:ascii="Arial" w:hAnsi="Arial" w:cs="Arial"/>
          <w:b/>
          <w:sz w:val="22"/>
          <w:szCs w:val="22"/>
        </w:rPr>
      </w:pPr>
      <w:bookmarkStart w:id="6" w:name="_Toc297128221"/>
      <w:bookmarkStart w:id="7" w:name="_Toc297131359"/>
      <w:r w:rsidRPr="005D0D57">
        <w:rPr>
          <w:rFonts w:ascii="Arial" w:hAnsi="Arial" w:cs="Arial"/>
          <w:b/>
          <w:sz w:val="22"/>
          <w:szCs w:val="22"/>
        </w:rPr>
        <w:t>Investments</w:t>
      </w:r>
      <w:bookmarkEnd w:id="6"/>
      <w:bookmarkEnd w:id="7"/>
    </w:p>
    <w:p w14:paraId="2F2F1E22" w14:textId="5087BDEF" w:rsidR="00053E09" w:rsidRPr="005D0D57" w:rsidRDefault="00053E09" w:rsidP="00053E09">
      <w:pPr>
        <w:pStyle w:val="NormalIndent"/>
        <w:ind w:left="0"/>
        <w:rPr>
          <w:rFonts w:ascii="Arial" w:hAnsi="Arial" w:cs="Arial"/>
          <w:sz w:val="22"/>
          <w:szCs w:val="22"/>
        </w:rPr>
      </w:pPr>
      <w:r w:rsidRPr="005D0D57">
        <w:rPr>
          <w:rFonts w:ascii="Arial" w:hAnsi="Arial" w:cs="Arial"/>
          <w:sz w:val="22"/>
          <w:szCs w:val="22"/>
        </w:rPr>
        <w:t>Investments are recognised at the lower of cost and net realisable value.</w:t>
      </w:r>
      <w:bookmarkStart w:id="8" w:name="_Toc297128222"/>
      <w:bookmarkStart w:id="9" w:name="_Toc297131360"/>
    </w:p>
    <w:p w14:paraId="3DA3D379" w14:textId="77777777" w:rsidR="00053E09" w:rsidRPr="005D0D57" w:rsidRDefault="00053E09" w:rsidP="00053E09">
      <w:pPr>
        <w:pStyle w:val="NormalIndent"/>
        <w:spacing w:after="80"/>
        <w:ind w:left="0"/>
        <w:outlineLvl w:val="0"/>
        <w:rPr>
          <w:rFonts w:ascii="Arial" w:hAnsi="Arial" w:cs="Arial"/>
          <w:b/>
          <w:sz w:val="22"/>
          <w:szCs w:val="22"/>
        </w:rPr>
      </w:pPr>
      <w:r w:rsidRPr="005D0D57">
        <w:rPr>
          <w:rFonts w:ascii="Arial" w:hAnsi="Arial" w:cs="Arial"/>
          <w:b/>
          <w:sz w:val="22"/>
          <w:szCs w:val="22"/>
        </w:rPr>
        <w:t>Income</w:t>
      </w:r>
      <w:bookmarkEnd w:id="8"/>
      <w:bookmarkEnd w:id="9"/>
    </w:p>
    <w:p w14:paraId="50F4A09F" w14:textId="77777777" w:rsidR="00053E09" w:rsidRPr="005D0D57" w:rsidRDefault="00053E09" w:rsidP="00053E09">
      <w:pPr>
        <w:pStyle w:val="NormalIndent"/>
        <w:ind w:left="0"/>
        <w:rPr>
          <w:rFonts w:ascii="Arial" w:hAnsi="Arial" w:cs="Arial"/>
          <w:sz w:val="22"/>
          <w:szCs w:val="22"/>
        </w:rPr>
      </w:pPr>
      <w:r w:rsidRPr="005D0D57">
        <w:rPr>
          <w:rFonts w:ascii="Arial" w:hAnsi="Arial" w:cs="Arial"/>
          <w:sz w:val="22"/>
          <w:szCs w:val="22"/>
        </w:rPr>
        <w:t>Income represents the amount receivable as grants, subscriptions and for goods sold and services provided (excluding Value Added Tax).  Income from dividends due from Joint Ventures is identified separately within the Income and Expenditure account. Note 2 gives further analysis of income which is all generated in the UK.</w:t>
      </w:r>
    </w:p>
    <w:p w14:paraId="53C2E188" w14:textId="77777777" w:rsidR="00053E09" w:rsidRPr="005D0D57" w:rsidRDefault="00053E09" w:rsidP="00053E09">
      <w:pPr>
        <w:pStyle w:val="NormalIndent"/>
        <w:spacing w:after="80"/>
        <w:ind w:left="0"/>
        <w:outlineLvl w:val="0"/>
        <w:rPr>
          <w:rFonts w:ascii="Arial" w:hAnsi="Arial" w:cs="Arial"/>
          <w:b/>
          <w:sz w:val="22"/>
          <w:szCs w:val="22"/>
        </w:rPr>
      </w:pPr>
      <w:r w:rsidRPr="005D0D57">
        <w:rPr>
          <w:rFonts w:ascii="Arial" w:hAnsi="Arial" w:cs="Arial"/>
          <w:b/>
          <w:sz w:val="22"/>
          <w:szCs w:val="22"/>
        </w:rPr>
        <w:t>Debtors</w:t>
      </w:r>
    </w:p>
    <w:p w14:paraId="7652FC37" w14:textId="77777777" w:rsidR="00053E09" w:rsidRPr="005D0D57" w:rsidRDefault="00053E09" w:rsidP="00053E09">
      <w:pPr>
        <w:pStyle w:val="NormalIndent"/>
        <w:ind w:left="0"/>
        <w:rPr>
          <w:rFonts w:ascii="Arial" w:hAnsi="Arial" w:cs="Arial"/>
          <w:sz w:val="22"/>
          <w:szCs w:val="22"/>
        </w:rPr>
      </w:pPr>
      <w:r w:rsidRPr="005D0D57">
        <w:rPr>
          <w:rFonts w:ascii="Arial" w:hAnsi="Arial" w:cs="Arial"/>
          <w:sz w:val="22"/>
          <w:szCs w:val="22"/>
        </w:rPr>
        <w:t xml:space="preserve">The policy of the Company is to make partial provision for debts that are over one year old and full provision for debts that are over two years old, subject to exceptions for debt due from </w:t>
      </w:r>
      <w:r w:rsidRPr="005D0D57">
        <w:rPr>
          <w:rFonts w:ascii="Arial" w:hAnsi="Arial" w:cs="Arial"/>
          <w:sz w:val="22"/>
          <w:szCs w:val="22"/>
        </w:rPr>
        <w:lastRenderedPageBreak/>
        <w:t xml:space="preserve">related entities, where the policy is not to make provision.  Old debt is periodically reviewed for write-off.  </w:t>
      </w:r>
    </w:p>
    <w:p w14:paraId="68A2B3B4" w14:textId="77777777" w:rsidR="00053E09" w:rsidRPr="005D0D57" w:rsidRDefault="00053E09" w:rsidP="00053E09">
      <w:pPr>
        <w:pStyle w:val="NormalIndent"/>
        <w:spacing w:after="80"/>
        <w:ind w:left="0"/>
        <w:outlineLvl w:val="0"/>
        <w:rPr>
          <w:rFonts w:ascii="Arial" w:hAnsi="Arial" w:cs="Arial"/>
          <w:b/>
          <w:sz w:val="22"/>
          <w:szCs w:val="22"/>
        </w:rPr>
      </w:pPr>
      <w:bookmarkStart w:id="10" w:name="_Toc297128223"/>
      <w:bookmarkStart w:id="11" w:name="_Toc297131361"/>
      <w:r w:rsidRPr="005D0D57">
        <w:rPr>
          <w:rFonts w:ascii="Arial" w:hAnsi="Arial" w:cs="Arial"/>
          <w:b/>
          <w:sz w:val="22"/>
          <w:szCs w:val="22"/>
        </w:rPr>
        <w:t>Government Grants</w:t>
      </w:r>
      <w:bookmarkEnd w:id="10"/>
      <w:bookmarkEnd w:id="11"/>
    </w:p>
    <w:p w14:paraId="3679C773" w14:textId="028E5983" w:rsidR="00053E09" w:rsidRPr="005D0D57" w:rsidRDefault="00053E09" w:rsidP="00053E09">
      <w:pPr>
        <w:pStyle w:val="NormalIndent"/>
        <w:ind w:left="0"/>
        <w:rPr>
          <w:rFonts w:ascii="Arial" w:hAnsi="Arial" w:cs="Arial"/>
          <w:sz w:val="22"/>
          <w:szCs w:val="22"/>
        </w:rPr>
      </w:pPr>
      <w:r w:rsidRPr="005D0D57">
        <w:rPr>
          <w:rFonts w:ascii="Arial" w:hAnsi="Arial" w:cs="Arial"/>
          <w:sz w:val="22"/>
          <w:szCs w:val="22"/>
        </w:rPr>
        <w:t xml:space="preserve">Grants are recognised in the Income and Expenditure account when the conditions for receipt have been complied with. Deferred grant income at the </w:t>
      </w:r>
      <w:proofErr w:type="spellStart"/>
      <w:r w:rsidRPr="005D0D57">
        <w:rPr>
          <w:rFonts w:ascii="Arial" w:hAnsi="Arial" w:cs="Arial"/>
          <w:sz w:val="22"/>
          <w:szCs w:val="22"/>
        </w:rPr>
        <w:t>year end</w:t>
      </w:r>
      <w:proofErr w:type="spellEnd"/>
      <w:r w:rsidRPr="005D0D57">
        <w:rPr>
          <w:rFonts w:ascii="Arial" w:hAnsi="Arial" w:cs="Arial"/>
          <w:sz w:val="22"/>
          <w:szCs w:val="22"/>
        </w:rPr>
        <w:t xml:space="preserve"> is included in creditors. The Company receives Revenue Support Grant which is recognised in the Income and Expenditure account on receipt and Specific Grant which is recognised in the accounts in the period the related activities occur.</w:t>
      </w:r>
    </w:p>
    <w:p w14:paraId="78E55393" w14:textId="77777777" w:rsidR="00053E09" w:rsidRPr="005D0D57" w:rsidRDefault="00053E09" w:rsidP="00053E09">
      <w:pPr>
        <w:pStyle w:val="NormalIndent"/>
        <w:spacing w:after="80"/>
        <w:ind w:left="0"/>
        <w:outlineLvl w:val="0"/>
        <w:rPr>
          <w:rFonts w:ascii="Arial" w:hAnsi="Arial" w:cs="Arial"/>
          <w:b/>
          <w:sz w:val="22"/>
          <w:szCs w:val="22"/>
        </w:rPr>
      </w:pPr>
      <w:bookmarkStart w:id="12" w:name="_Toc297128224"/>
      <w:bookmarkStart w:id="13" w:name="_Toc297131362"/>
      <w:r w:rsidRPr="005D0D57">
        <w:rPr>
          <w:rFonts w:ascii="Arial" w:hAnsi="Arial" w:cs="Arial"/>
          <w:b/>
          <w:sz w:val="22"/>
          <w:szCs w:val="22"/>
        </w:rPr>
        <w:t>Pension costs</w:t>
      </w:r>
      <w:bookmarkEnd w:id="12"/>
      <w:bookmarkEnd w:id="13"/>
    </w:p>
    <w:p w14:paraId="524815F4" w14:textId="2A0CA858" w:rsidR="00053E09" w:rsidRPr="005D0D57" w:rsidRDefault="00053E09" w:rsidP="00604788">
      <w:pPr>
        <w:pStyle w:val="NormalIndent"/>
        <w:ind w:left="0"/>
        <w:rPr>
          <w:rFonts w:ascii="Arial" w:hAnsi="Arial" w:cs="Arial"/>
          <w:sz w:val="22"/>
          <w:szCs w:val="22"/>
        </w:rPr>
      </w:pPr>
      <w:r w:rsidRPr="005D0D57">
        <w:rPr>
          <w:rFonts w:ascii="Arial" w:hAnsi="Arial" w:cs="Arial"/>
          <w:sz w:val="22"/>
          <w:szCs w:val="22"/>
        </w:rPr>
        <w:t>New employees are entitled to membership of the London Borough of Camden Council defined benefit pension scheme. Under the defined benefit plan, pension scheme assets are measured using market values. Pension scheme liabilities are measured using the projected unit actuarial method and are discounted at the current rate of return on a high quality corporate bond of equivalent term and currency to the liability. Any increase in the present value of liabilities within the defined benefit pension schemes expected to arise from employee service in the period are charged to the income and expenditure account.</w:t>
      </w:r>
    </w:p>
    <w:p w14:paraId="4EE55F7C" w14:textId="42A302D3" w:rsidR="00053E09" w:rsidRPr="00604788" w:rsidRDefault="00053E09" w:rsidP="00604788">
      <w:pPr>
        <w:pStyle w:val="NormalIndent"/>
        <w:spacing w:after="80"/>
        <w:ind w:left="0"/>
        <w:outlineLvl w:val="0"/>
        <w:rPr>
          <w:rFonts w:ascii="Arial" w:hAnsi="Arial" w:cs="Arial"/>
          <w:sz w:val="22"/>
          <w:szCs w:val="22"/>
        </w:rPr>
      </w:pPr>
      <w:r w:rsidRPr="00604788">
        <w:rPr>
          <w:rFonts w:ascii="Arial" w:hAnsi="Arial" w:cs="Arial"/>
          <w:sz w:val="22"/>
          <w:szCs w:val="22"/>
        </w:rPr>
        <w:t xml:space="preserve">The expected return on the schemes’ assets and the increase during the period in the present value of the schemes’ liabilities arising from the passage of time and actuarial gains and losses are recognised in the statement of other comprehensive income as </w:t>
      </w:r>
      <w:proofErr w:type="spellStart"/>
      <w:r w:rsidRPr="00604788">
        <w:rPr>
          <w:rFonts w:ascii="Arial" w:hAnsi="Arial" w:cs="Arial"/>
          <w:sz w:val="22"/>
          <w:szCs w:val="22"/>
        </w:rPr>
        <w:t>remeasurement</w:t>
      </w:r>
      <w:proofErr w:type="spellEnd"/>
      <w:r w:rsidRPr="00604788">
        <w:rPr>
          <w:rFonts w:ascii="Arial" w:hAnsi="Arial" w:cs="Arial"/>
          <w:sz w:val="22"/>
          <w:szCs w:val="22"/>
        </w:rPr>
        <w:t xml:space="preserve"> of defined benefits pension scheme obligations.  Pension scheme surpluses, to the extent that they are considered recoverable, or deficits are recognised in full and presented on the face of the balance sheet.</w:t>
      </w:r>
    </w:p>
    <w:p w14:paraId="508CF58F" w14:textId="77777777" w:rsidR="00053E09" w:rsidRPr="00604788" w:rsidRDefault="00053E09" w:rsidP="00053E09">
      <w:pPr>
        <w:pStyle w:val="NormalIndent"/>
        <w:ind w:left="0"/>
        <w:rPr>
          <w:rFonts w:ascii="Arial" w:hAnsi="Arial" w:cs="Arial"/>
          <w:sz w:val="22"/>
          <w:szCs w:val="22"/>
        </w:rPr>
      </w:pPr>
      <w:bookmarkStart w:id="14" w:name="_Toc297128226"/>
      <w:bookmarkStart w:id="15" w:name="_Toc297131364"/>
      <w:r w:rsidRPr="00604788">
        <w:rPr>
          <w:rFonts w:ascii="Arial" w:hAnsi="Arial" w:cs="Arial"/>
          <w:sz w:val="22"/>
          <w:szCs w:val="22"/>
        </w:rPr>
        <w:t>The amounts charged to operating profit are the current service costs and gains and losses on settlements and curtailments (included in staff costs).  Past service costs are recognised immediately in the profit and loss account if the benefits have vested.  If the benefits have not vested immediately, the costs are recognised over the period until vesting occurs.</w:t>
      </w:r>
      <w:bookmarkEnd w:id="14"/>
      <w:bookmarkEnd w:id="15"/>
    </w:p>
    <w:p w14:paraId="4AB53CCD" w14:textId="77777777" w:rsidR="00053E09" w:rsidRPr="00604788" w:rsidRDefault="00053E09" w:rsidP="00053E09">
      <w:pPr>
        <w:spacing w:after="80"/>
        <w:jc w:val="both"/>
        <w:outlineLvl w:val="0"/>
        <w:rPr>
          <w:rFonts w:cs="Arial"/>
          <w:b/>
          <w:szCs w:val="22"/>
        </w:rPr>
      </w:pPr>
      <w:bookmarkStart w:id="16" w:name="_Toc297128227"/>
      <w:bookmarkStart w:id="17" w:name="_Toc297131365"/>
      <w:r w:rsidRPr="00604788">
        <w:rPr>
          <w:rFonts w:cs="Arial"/>
          <w:b/>
          <w:szCs w:val="22"/>
        </w:rPr>
        <w:t>Reserves</w:t>
      </w:r>
    </w:p>
    <w:p w14:paraId="299BA6F9" w14:textId="02B034BE" w:rsidR="00053E09" w:rsidRPr="005D0D57" w:rsidRDefault="00053E09" w:rsidP="00604788">
      <w:pPr>
        <w:spacing w:after="80"/>
        <w:jc w:val="both"/>
        <w:outlineLvl w:val="0"/>
        <w:rPr>
          <w:rFonts w:cs="Arial"/>
          <w:szCs w:val="22"/>
        </w:rPr>
      </w:pPr>
      <w:r w:rsidRPr="00604788">
        <w:rPr>
          <w:rFonts w:cs="Arial"/>
          <w:szCs w:val="22"/>
        </w:rPr>
        <w:t>The Contingency Reserve is created to provide cash resources to fund developments that provide opportunities to save costs or generate additional commercial income, fund external loan repayments, and also to cover the potential risks to the IDEA medium term plan (such as increased pension deficit payments). Contributions to or from this reserve will be identified set so that the IDEA budget for each year of the plan is balanced.</w:t>
      </w:r>
      <w:r>
        <w:rPr>
          <w:rFonts w:cs="Arial"/>
          <w:szCs w:val="22"/>
        </w:rPr>
        <w:t xml:space="preserve"> </w:t>
      </w:r>
    </w:p>
    <w:p w14:paraId="5361571A" w14:textId="77777777" w:rsidR="00053E09" w:rsidRPr="005D0D57" w:rsidRDefault="00053E09" w:rsidP="00053E09">
      <w:pPr>
        <w:pStyle w:val="NormalIndent"/>
        <w:spacing w:after="80"/>
        <w:ind w:left="0"/>
        <w:outlineLvl w:val="0"/>
        <w:rPr>
          <w:rFonts w:ascii="Arial" w:hAnsi="Arial" w:cs="Arial"/>
          <w:b/>
          <w:sz w:val="22"/>
          <w:szCs w:val="22"/>
        </w:rPr>
      </w:pPr>
      <w:r w:rsidRPr="005D0D57">
        <w:rPr>
          <w:rFonts w:ascii="Arial" w:hAnsi="Arial" w:cs="Arial"/>
          <w:b/>
          <w:sz w:val="22"/>
          <w:szCs w:val="22"/>
        </w:rPr>
        <w:t>Company Status</w:t>
      </w:r>
      <w:bookmarkEnd w:id="16"/>
      <w:bookmarkEnd w:id="17"/>
    </w:p>
    <w:p w14:paraId="0235360B" w14:textId="1DB1BDB8" w:rsidR="00D61A7F" w:rsidRDefault="00053E09" w:rsidP="00053E09">
      <w:pPr>
        <w:spacing w:after="160" w:line="259" w:lineRule="auto"/>
        <w:rPr>
          <w:rFonts w:asciiTheme="minorHAnsi" w:hAnsiTheme="minorHAnsi" w:cstheme="minorHAnsi"/>
          <w:b/>
          <w:szCs w:val="22"/>
        </w:rPr>
      </w:pPr>
      <w:r w:rsidRPr="005D0D57">
        <w:rPr>
          <w:rFonts w:cs="Arial"/>
          <w:szCs w:val="22"/>
        </w:rPr>
        <w:t>The Company is limited by guarantee and has no share capital. In the event of a winding up of the Company, each director’s contribution towards t</w:t>
      </w:r>
      <w:r>
        <w:rPr>
          <w:rFonts w:cs="Arial"/>
          <w:szCs w:val="22"/>
        </w:rPr>
        <w:t>he liabilities is limited to £1</w:t>
      </w:r>
      <w:r w:rsidR="00604788">
        <w:rPr>
          <w:rFonts w:cs="Arial"/>
          <w:szCs w:val="22"/>
        </w:rPr>
        <w:t>.</w:t>
      </w:r>
    </w:p>
    <w:p w14:paraId="2C06DEFC" w14:textId="77777777" w:rsidR="00053E09" w:rsidRDefault="00053E09" w:rsidP="00D61A7F">
      <w:pPr>
        <w:spacing w:after="160" w:line="259" w:lineRule="auto"/>
        <w:rPr>
          <w:rFonts w:cs="Arial"/>
          <w:b/>
          <w:szCs w:val="22"/>
        </w:rPr>
      </w:pPr>
    </w:p>
    <w:p w14:paraId="3CE41991" w14:textId="77777777" w:rsidR="00604788" w:rsidRDefault="00604788" w:rsidP="00D61A7F">
      <w:pPr>
        <w:spacing w:after="160" w:line="259" w:lineRule="auto"/>
        <w:rPr>
          <w:rFonts w:cs="Arial"/>
          <w:b/>
          <w:szCs w:val="22"/>
        </w:rPr>
      </w:pPr>
    </w:p>
    <w:p w14:paraId="15B5A087" w14:textId="77777777" w:rsidR="00604788" w:rsidRDefault="00604788" w:rsidP="00D61A7F">
      <w:pPr>
        <w:spacing w:after="160" w:line="259" w:lineRule="auto"/>
        <w:rPr>
          <w:rFonts w:cs="Arial"/>
          <w:b/>
          <w:szCs w:val="22"/>
        </w:rPr>
      </w:pPr>
    </w:p>
    <w:p w14:paraId="73DC2525" w14:textId="77777777" w:rsidR="00604788" w:rsidRDefault="00604788" w:rsidP="00D61A7F">
      <w:pPr>
        <w:spacing w:after="160" w:line="259" w:lineRule="auto"/>
        <w:rPr>
          <w:rFonts w:cs="Arial"/>
          <w:b/>
          <w:szCs w:val="22"/>
        </w:rPr>
      </w:pPr>
    </w:p>
    <w:p w14:paraId="5F89EEEE" w14:textId="77777777" w:rsidR="00604788" w:rsidRDefault="00604788" w:rsidP="00D61A7F">
      <w:pPr>
        <w:spacing w:after="160" w:line="259" w:lineRule="auto"/>
        <w:rPr>
          <w:rFonts w:cs="Arial"/>
          <w:b/>
          <w:szCs w:val="22"/>
        </w:rPr>
      </w:pPr>
    </w:p>
    <w:p w14:paraId="49A00F48" w14:textId="77777777" w:rsidR="00604788" w:rsidRDefault="00604788" w:rsidP="00D61A7F">
      <w:pPr>
        <w:spacing w:after="160" w:line="259" w:lineRule="auto"/>
        <w:rPr>
          <w:rFonts w:cs="Arial"/>
          <w:b/>
          <w:szCs w:val="22"/>
        </w:rPr>
      </w:pPr>
    </w:p>
    <w:p w14:paraId="1C770970" w14:textId="77777777" w:rsidR="00604788" w:rsidRDefault="00604788" w:rsidP="00D61A7F">
      <w:pPr>
        <w:spacing w:after="160" w:line="259" w:lineRule="auto"/>
        <w:rPr>
          <w:rFonts w:cs="Arial"/>
          <w:b/>
          <w:szCs w:val="22"/>
        </w:rPr>
      </w:pPr>
    </w:p>
    <w:p w14:paraId="77E72F3F" w14:textId="77777777" w:rsidR="00D61A7F" w:rsidRPr="005D0D57" w:rsidRDefault="00D61A7F" w:rsidP="00D61A7F">
      <w:pPr>
        <w:spacing w:after="160" w:line="259" w:lineRule="auto"/>
        <w:rPr>
          <w:rFonts w:cs="Arial"/>
          <w:b/>
          <w:szCs w:val="22"/>
        </w:rPr>
      </w:pPr>
      <w:r w:rsidRPr="005D0D57">
        <w:rPr>
          <w:rFonts w:cs="Arial"/>
          <w:b/>
          <w:szCs w:val="22"/>
        </w:rPr>
        <w:lastRenderedPageBreak/>
        <w:t>NEW FINAL NOTE TO THE ACCOUNTS</w:t>
      </w:r>
    </w:p>
    <w:p w14:paraId="7B0C8A88" w14:textId="77777777" w:rsidR="00D61A7F" w:rsidRPr="005D0D57" w:rsidRDefault="00D61A7F" w:rsidP="00D61A7F">
      <w:pPr>
        <w:spacing w:after="160" w:line="259" w:lineRule="auto"/>
        <w:rPr>
          <w:rFonts w:cs="Arial"/>
          <w:b/>
          <w:szCs w:val="22"/>
        </w:rPr>
      </w:pPr>
      <w:r w:rsidRPr="005D0D57">
        <w:rPr>
          <w:rFonts w:cs="Arial"/>
          <w:b/>
          <w:szCs w:val="22"/>
        </w:rPr>
        <w:t xml:space="preserve">Transition to FRS102 </w:t>
      </w:r>
    </w:p>
    <w:p w14:paraId="2B2B6CFB" w14:textId="49E1514E" w:rsidR="00D61A7F" w:rsidRPr="005D0D57" w:rsidRDefault="00D61A7F" w:rsidP="00D61A7F">
      <w:pPr>
        <w:spacing w:after="160" w:line="259" w:lineRule="auto"/>
        <w:rPr>
          <w:rFonts w:cs="Arial"/>
          <w:szCs w:val="22"/>
        </w:rPr>
      </w:pPr>
      <w:r w:rsidRPr="005D0D57">
        <w:rPr>
          <w:rFonts w:cs="Arial"/>
          <w:szCs w:val="22"/>
        </w:rPr>
        <w:t>This is the first year that the company has presented its results under FRS 102. The last financial statements under the UK GAAP were for the year ended 31 March 2015. Set out below are the adjustments which reconcile the total equity as at 1 April 2014 and 31 March 2015 as a result of the changes to accounting policies between UK GAAP as previously reported and FRS 102.</w:t>
      </w:r>
    </w:p>
    <w:p w14:paraId="017F0341" w14:textId="77777777" w:rsidR="00D61A7F" w:rsidRPr="005D0D57" w:rsidRDefault="00D61A7F" w:rsidP="00D61A7F">
      <w:pPr>
        <w:spacing w:after="160" w:line="259" w:lineRule="auto"/>
        <w:rPr>
          <w:rFonts w:cs="Arial"/>
          <w:szCs w:val="22"/>
        </w:rPr>
      </w:pPr>
    </w:p>
    <w:p w14:paraId="5FCE1E75" w14:textId="77777777" w:rsidR="00D61A7F" w:rsidRDefault="00D61A7F" w:rsidP="00D61A7F">
      <w:pPr>
        <w:spacing w:after="160" w:line="259" w:lineRule="auto"/>
        <w:rPr>
          <w:rFonts w:cs="Arial"/>
          <w:szCs w:val="22"/>
        </w:rPr>
      </w:pPr>
    </w:p>
    <w:tbl>
      <w:tblPr>
        <w:tblW w:w="9072" w:type="dxa"/>
        <w:tblInd w:w="-114" w:type="dxa"/>
        <w:tblLayout w:type="fixed"/>
        <w:tblCellMar>
          <w:left w:w="28" w:type="dxa"/>
          <w:right w:w="28" w:type="dxa"/>
        </w:tblCellMar>
        <w:tblLook w:val="0000" w:firstRow="0" w:lastRow="0" w:firstColumn="0" w:lastColumn="0" w:noHBand="0" w:noVBand="0"/>
      </w:tblPr>
      <w:tblGrid>
        <w:gridCol w:w="5288"/>
        <w:gridCol w:w="531"/>
        <w:gridCol w:w="1248"/>
        <w:gridCol w:w="627"/>
        <w:gridCol w:w="1378"/>
      </w:tblGrid>
      <w:tr w:rsidR="00D61A7F" w:rsidRPr="00FC3FD2" w14:paraId="3D1889FB" w14:textId="77777777" w:rsidTr="00D61A7F">
        <w:trPr>
          <w:cantSplit/>
        </w:trPr>
        <w:tc>
          <w:tcPr>
            <w:tcW w:w="5288" w:type="dxa"/>
          </w:tcPr>
          <w:p w14:paraId="017354DC" w14:textId="3D6ADA4F" w:rsidR="00D61A7F" w:rsidRPr="00B8270A" w:rsidRDefault="00910EEB" w:rsidP="00D61A7F">
            <w:pPr>
              <w:pStyle w:val="Tnormal"/>
              <w:rPr>
                <w:rFonts w:ascii="Arial" w:hAnsi="Arial" w:cs="Arial"/>
                <w:b/>
                <w:sz w:val="22"/>
                <w:szCs w:val="22"/>
              </w:rPr>
            </w:pPr>
            <w:r>
              <w:rPr>
                <w:rFonts w:ascii="Arial" w:hAnsi="Arial" w:cs="Arial"/>
                <w:b/>
                <w:sz w:val="22"/>
                <w:szCs w:val="22"/>
              </w:rPr>
              <w:t>ACCUMULATED FUNDS</w:t>
            </w:r>
          </w:p>
        </w:tc>
        <w:tc>
          <w:tcPr>
            <w:tcW w:w="531" w:type="dxa"/>
          </w:tcPr>
          <w:p w14:paraId="408B340B" w14:textId="77777777" w:rsidR="00D61A7F" w:rsidRDefault="00D61A7F" w:rsidP="00D61A7F">
            <w:pPr>
              <w:pStyle w:val="Thead"/>
              <w:rPr>
                <w:rFonts w:ascii="Arial" w:hAnsi="Arial" w:cs="Arial"/>
                <w:sz w:val="22"/>
                <w:szCs w:val="22"/>
              </w:rPr>
            </w:pPr>
          </w:p>
        </w:tc>
        <w:tc>
          <w:tcPr>
            <w:tcW w:w="1248" w:type="dxa"/>
          </w:tcPr>
          <w:p w14:paraId="375865B6" w14:textId="77777777" w:rsidR="00D61A7F" w:rsidRPr="00B020FC" w:rsidRDefault="00D61A7F" w:rsidP="00D61A7F">
            <w:pPr>
              <w:pStyle w:val="Thead"/>
              <w:rPr>
                <w:rFonts w:ascii="Arial" w:hAnsi="Arial" w:cs="Arial"/>
                <w:sz w:val="22"/>
                <w:szCs w:val="22"/>
              </w:rPr>
            </w:pPr>
            <w:r>
              <w:rPr>
                <w:rFonts w:ascii="Arial" w:hAnsi="Arial" w:cs="Arial"/>
                <w:sz w:val="22"/>
                <w:szCs w:val="22"/>
              </w:rPr>
              <w:t>1 April 2014</w:t>
            </w:r>
          </w:p>
          <w:p w14:paraId="5542C2A5" w14:textId="77777777" w:rsidR="00D61A7F" w:rsidRPr="00B020FC" w:rsidRDefault="00D61A7F" w:rsidP="00D61A7F">
            <w:pPr>
              <w:pStyle w:val="Thead"/>
              <w:rPr>
                <w:rFonts w:ascii="Arial" w:hAnsi="Arial" w:cs="Arial"/>
                <w:sz w:val="22"/>
                <w:szCs w:val="22"/>
              </w:rPr>
            </w:pPr>
            <w:r w:rsidRPr="00B020FC">
              <w:rPr>
                <w:rFonts w:ascii="Arial" w:hAnsi="Arial" w:cs="Arial"/>
                <w:sz w:val="22"/>
                <w:szCs w:val="22"/>
              </w:rPr>
              <w:t>£000</w:t>
            </w:r>
          </w:p>
        </w:tc>
        <w:tc>
          <w:tcPr>
            <w:tcW w:w="627" w:type="dxa"/>
          </w:tcPr>
          <w:p w14:paraId="7D321160" w14:textId="77777777" w:rsidR="00D61A7F" w:rsidRPr="00B020FC" w:rsidRDefault="00D61A7F" w:rsidP="00D61A7F">
            <w:pPr>
              <w:pStyle w:val="Thead"/>
              <w:rPr>
                <w:rFonts w:ascii="Arial" w:hAnsi="Arial" w:cs="Arial"/>
                <w:sz w:val="22"/>
                <w:szCs w:val="22"/>
              </w:rPr>
            </w:pPr>
          </w:p>
        </w:tc>
        <w:tc>
          <w:tcPr>
            <w:tcW w:w="1378" w:type="dxa"/>
          </w:tcPr>
          <w:p w14:paraId="04D17D20" w14:textId="77777777" w:rsidR="00D61A7F" w:rsidRPr="00B020FC" w:rsidRDefault="00D61A7F" w:rsidP="00D61A7F">
            <w:pPr>
              <w:pStyle w:val="Thead"/>
              <w:rPr>
                <w:rFonts w:ascii="Arial" w:hAnsi="Arial" w:cs="Arial"/>
                <w:sz w:val="22"/>
                <w:szCs w:val="22"/>
              </w:rPr>
            </w:pPr>
            <w:r>
              <w:rPr>
                <w:rFonts w:ascii="Arial" w:hAnsi="Arial" w:cs="Arial"/>
                <w:sz w:val="22"/>
                <w:szCs w:val="22"/>
              </w:rPr>
              <w:t>31 March 2015</w:t>
            </w:r>
          </w:p>
          <w:p w14:paraId="73B9E1CE" w14:textId="77777777" w:rsidR="00D61A7F" w:rsidRPr="00B020FC" w:rsidRDefault="00D61A7F" w:rsidP="00D61A7F">
            <w:pPr>
              <w:pStyle w:val="Thead"/>
              <w:rPr>
                <w:rFonts w:ascii="Arial" w:hAnsi="Arial" w:cs="Arial"/>
                <w:sz w:val="22"/>
                <w:szCs w:val="22"/>
              </w:rPr>
            </w:pPr>
            <w:r w:rsidRPr="00B020FC">
              <w:rPr>
                <w:rFonts w:ascii="Arial" w:hAnsi="Arial" w:cs="Arial"/>
                <w:sz w:val="22"/>
                <w:szCs w:val="22"/>
              </w:rPr>
              <w:t>£000</w:t>
            </w:r>
          </w:p>
        </w:tc>
      </w:tr>
      <w:tr w:rsidR="00D61A7F" w:rsidRPr="00FC3FD2" w14:paraId="6410A637" w14:textId="77777777" w:rsidTr="00D61A7F">
        <w:trPr>
          <w:cantSplit/>
          <w:trHeight w:val="221"/>
        </w:trPr>
        <w:tc>
          <w:tcPr>
            <w:tcW w:w="5288" w:type="dxa"/>
          </w:tcPr>
          <w:p w14:paraId="71723C9F" w14:textId="77777777" w:rsidR="00D61A7F" w:rsidRPr="00B020FC" w:rsidRDefault="00D61A7F" w:rsidP="00D61A7F">
            <w:pPr>
              <w:pStyle w:val="B0"/>
              <w:rPr>
                <w:rFonts w:ascii="Arial" w:hAnsi="Arial" w:cs="Arial"/>
                <w:sz w:val="22"/>
                <w:szCs w:val="22"/>
              </w:rPr>
            </w:pPr>
          </w:p>
        </w:tc>
        <w:tc>
          <w:tcPr>
            <w:tcW w:w="531" w:type="dxa"/>
          </w:tcPr>
          <w:p w14:paraId="468C82D1" w14:textId="77777777" w:rsidR="00D61A7F" w:rsidRPr="00B020FC" w:rsidRDefault="00D61A7F" w:rsidP="00D61A7F">
            <w:pPr>
              <w:pStyle w:val="B0"/>
              <w:ind w:right="86"/>
              <w:rPr>
                <w:rFonts w:ascii="Arial" w:hAnsi="Arial" w:cs="Arial"/>
                <w:sz w:val="22"/>
                <w:szCs w:val="22"/>
              </w:rPr>
            </w:pPr>
          </w:p>
        </w:tc>
        <w:tc>
          <w:tcPr>
            <w:tcW w:w="1248" w:type="dxa"/>
          </w:tcPr>
          <w:p w14:paraId="17836ADD" w14:textId="77777777" w:rsidR="00D61A7F" w:rsidRPr="00B020FC" w:rsidRDefault="00D61A7F" w:rsidP="00D61A7F">
            <w:pPr>
              <w:pStyle w:val="B0"/>
              <w:ind w:right="86"/>
              <w:rPr>
                <w:rFonts w:ascii="Arial" w:hAnsi="Arial" w:cs="Arial"/>
                <w:sz w:val="22"/>
                <w:szCs w:val="22"/>
              </w:rPr>
            </w:pPr>
          </w:p>
        </w:tc>
        <w:tc>
          <w:tcPr>
            <w:tcW w:w="627" w:type="dxa"/>
          </w:tcPr>
          <w:p w14:paraId="27A75915" w14:textId="77777777" w:rsidR="00D61A7F" w:rsidRPr="00B020FC" w:rsidRDefault="00D61A7F" w:rsidP="00D61A7F">
            <w:pPr>
              <w:pStyle w:val="B0"/>
              <w:ind w:right="86"/>
              <w:rPr>
                <w:rFonts w:ascii="Arial" w:hAnsi="Arial" w:cs="Arial"/>
                <w:sz w:val="22"/>
                <w:szCs w:val="22"/>
              </w:rPr>
            </w:pPr>
          </w:p>
        </w:tc>
        <w:tc>
          <w:tcPr>
            <w:tcW w:w="1378" w:type="dxa"/>
          </w:tcPr>
          <w:p w14:paraId="5A114854" w14:textId="77777777" w:rsidR="00D61A7F" w:rsidRPr="00B020FC" w:rsidRDefault="00D61A7F" w:rsidP="00D61A7F">
            <w:pPr>
              <w:pStyle w:val="B0"/>
              <w:ind w:right="86"/>
              <w:rPr>
                <w:rFonts w:ascii="Arial" w:hAnsi="Arial" w:cs="Arial"/>
                <w:sz w:val="22"/>
                <w:szCs w:val="22"/>
              </w:rPr>
            </w:pPr>
          </w:p>
        </w:tc>
      </w:tr>
      <w:tr w:rsidR="00D61A7F" w:rsidRPr="00FC3FD2" w14:paraId="112015DB" w14:textId="77777777" w:rsidTr="00D61A7F">
        <w:trPr>
          <w:cantSplit/>
          <w:trHeight w:val="340"/>
        </w:trPr>
        <w:tc>
          <w:tcPr>
            <w:tcW w:w="5288" w:type="dxa"/>
          </w:tcPr>
          <w:p w14:paraId="6DC574CD" w14:textId="77777777" w:rsidR="00D61A7F" w:rsidRPr="00B8270A" w:rsidRDefault="00D61A7F" w:rsidP="00D61A7F">
            <w:pPr>
              <w:pStyle w:val="Tnormal"/>
              <w:tabs>
                <w:tab w:val="clear" w:pos="284"/>
                <w:tab w:val="left" w:pos="142"/>
              </w:tabs>
              <w:ind w:firstLine="0"/>
              <w:jc w:val="both"/>
              <w:rPr>
                <w:rFonts w:ascii="Arial" w:hAnsi="Arial" w:cs="Arial"/>
                <w:b/>
                <w:bCs/>
                <w:sz w:val="22"/>
                <w:szCs w:val="22"/>
              </w:rPr>
            </w:pPr>
            <w:r>
              <w:rPr>
                <w:rFonts w:ascii="Arial" w:hAnsi="Arial" w:cs="Arial"/>
                <w:b/>
                <w:bCs/>
                <w:sz w:val="22"/>
                <w:szCs w:val="22"/>
              </w:rPr>
              <w:t>UK GAAP – A</w:t>
            </w:r>
            <w:r w:rsidRPr="00B8270A">
              <w:rPr>
                <w:rFonts w:ascii="Arial" w:hAnsi="Arial" w:cs="Arial"/>
                <w:b/>
                <w:bCs/>
                <w:sz w:val="22"/>
                <w:szCs w:val="22"/>
              </w:rPr>
              <w:t>s previously reported</w:t>
            </w:r>
          </w:p>
        </w:tc>
        <w:tc>
          <w:tcPr>
            <w:tcW w:w="531" w:type="dxa"/>
          </w:tcPr>
          <w:p w14:paraId="4B1EE118"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1248" w:type="dxa"/>
          </w:tcPr>
          <w:p w14:paraId="7AAE4309" w14:textId="1FFBC7AA" w:rsidR="00D61A7F" w:rsidRPr="00B020FC" w:rsidRDefault="007869A1" w:rsidP="00D61A7F">
            <w:pPr>
              <w:pStyle w:val="Tdec"/>
              <w:tabs>
                <w:tab w:val="clear" w:pos="993"/>
                <w:tab w:val="decimal" w:pos="1656"/>
              </w:tabs>
              <w:ind w:right="86"/>
              <w:rPr>
                <w:rFonts w:ascii="Arial" w:hAnsi="Arial" w:cs="Arial"/>
                <w:sz w:val="22"/>
                <w:szCs w:val="22"/>
              </w:rPr>
            </w:pPr>
            <w:r>
              <w:rPr>
                <w:rFonts w:ascii="Arial" w:hAnsi="Arial" w:cs="Arial"/>
                <w:sz w:val="22"/>
                <w:szCs w:val="22"/>
              </w:rPr>
              <w:t>(48,964)</w:t>
            </w:r>
          </w:p>
        </w:tc>
        <w:tc>
          <w:tcPr>
            <w:tcW w:w="627" w:type="dxa"/>
          </w:tcPr>
          <w:p w14:paraId="0A4EB100"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1378" w:type="dxa"/>
          </w:tcPr>
          <w:p w14:paraId="07E902E1" w14:textId="77777777" w:rsidR="00D61A7F" w:rsidRPr="00B020FC" w:rsidRDefault="00D61A7F" w:rsidP="00D61A7F">
            <w:pPr>
              <w:pStyle w:val="Tdec"/>
              <w:tabs>
                <w:tab w:val="clear" w:pos="993"/>
                <w:tab w:val="decimal" w:pos="1656"/>
              </w:tabs>
              <w:ind w:right="86"/>
              <w:rPr>
                <w:rFonts w:ascii="Arial" w:hAnsi="Arial" w:cs="Arial"/>
                <w:sz w:val="22"/>
                <w:szCs w:val="22"/>
              </w:rPr>
            </w:pPr>
            <w:r>
              <w:rPr>
                <w:rFonts w:ascii="Arial" w:hAnsi="Arial" w:cs="Arial"/>
                <w:sz w:val="22"/>
                <w:szCs w:val="22"/>
              </w:rPr>
              <w:t>(62,064)</w:t>
            </w:r>
          </w:p>
        </w:tc>
      </w:tr>
      <w:tr w:rsidR="00D61A7F" w:rsidRPr="00FC3FD2" w14:paraId="10287AF5" w14:textId="77777777" w:rsidTr="00D61A7F">
        <w:trPr>
          <w:cantSplit/>
          <w:trHeight w:val="340"/>
        </w:trPr>
        <w:tc>
          <w:tcPr>
            <w:tcW w:w="5288" w:type="dxa"/>
          </w:tcPr>
          <w:p w14:paraId="16F33B2B" w14:textId="77777777" w:rsidR="00D61A7F" w:rsidRPr="001E7929" w:rsidRDefault="00D61A7F" w:rsidP="00D61A7F">
            <w:pPr>
              <w:pStyle w:val="Tnormal"/>
              <w:tabs>
                <w:tab w:val="clear" w:pos="284"/>
                <w:tab w:val="left" w:pos="142"/>
              </w:tabs>
              <w:ind w:firstLine="0"/>
              <w:rPr>
                <w:rFonts w:ascii="Arial" w:hAnsi="Arial" w:cs="Arial"/>
                <w:sz w:val="22"/>
                <w:szCs w:val="22"/>
              </w:rPr>
            </w:pPr>
            <w:r>
              <w:rPr>
                <w:rFonts w:ascii="Arial" w:hAnsi="Arial" w:cs="Arial"/>
                <w:sz w:val="22"/>
                <w:szCs w:val="22"/>
              </w:rPr>
              <w:t>Holiday Pay Accrual</w:t>
            </w:r>
          </w:p>
        </w:tc>
        <w:tc>
          <w:tcPr>
            <w:tcW w:w="531" w:type="dxa"/>
          </w:tcPr>
          <w:p w14:paraId="0C31947A"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1248" w:type="dxa"/>
          </w:tcPr>
          <w:p w14:paraId="6519B41B" w14:textId="604F151B" w:rsidR="00D61A7F" w:rsidRPr="00B020FC" w:rsidRDefault="007869A1" w:rsidP="00D61A7F">
            <w:pPr>
              <w:pStyle w:val="Tdec"/>
              <w:tabs>
                <w:tab w:val="clear" w:pos="993"/>
                <w:tab w:val="decimal" w:pos="1656"/>
              </w:tabs>
              <w:ind w:right="86"/>
              <w:rPr>
                <w:rFonts w:ascii="Arial" w:hAnsi="Arial" w:cs="Arial"/>
                <w:sz w:val="22"/>
                <w:szCs w:val="22"/>
              </w:rPr>
            </w:pPr>
            <w:r>
              <w:rPr>
                <w:rFonts w:ascii="Arial" w:hAnsi="Arial" w:cs="Arial"/>
                <w:sz w:val="22"/>
                <w:szCs w:val="22"/>
              </w:rPr>
              <w:t>(211)</w:t>
            </w:r>
          </w:p>
        </w:tc>
        <w:tc>
          <w:tcPr>
            <w:tcW w:w="627" w:type="dxa"/>
          </w:tcPr>
          <w:p w14:paraId="261F5AF5"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1378" w:type="dxa"/>
          </w:tcPr>
          <w:p w14:paraId="1BF1391B" w14:textId="77777777" w:rsidR="00D61A7F" w:rsidRPr="00B020FC" w:rsidRDefault="00D61A7F" w:rsidP="00D61A7F">
            <w:pPr>
              <w:pStyle w:val="Tdec"/>
              <w:tabs>
                <w:tab w:val="clear" w:pos="993"/>
                <w:tab w:val="decimal" w:pos="1656"/>
              </w:tabs>
              <w:ind w:right="86"/>
              <w:rPr>
                <w:rFonts w:ascii="Arial" w:hAnsi="Arial" w:cs="Arial"/>
                <w:sz w:val="22"/>
                <w:szCs w:val="22"/>
              </w:rPr>
            </w:pPr>
            <w:r>
              <w:rPr>
                <w:rFonts w:ascii="Arial" w:hAnsi="Arial" w:cs="Arial"/>
                <w:sz w:val="22"/>
                <w:szCs w:val="22"/>
              </w:rPr>
              <w:t>(211)</w:t>
            </w:r>
          </w:p>
        </w:tc>
      </w:tr>
      <w:tr w:rsidR="00D61A7F" w:rsidRPr="00FC3FD2" w14:paraId="04FE219B" w14:textId="77777777" w:rsidTr="00D61A7F">
        <w:trPr>
          <w:cantSplit/>
          <w:trHeight w:val="340"/>
        </w:trPr>
        <w:tc>
          <w:tcPr>
            <w:tcW w:w="5288" w:type="dxa"/>
          </w:tcPr>
          <w:p w14:paraId="7C01BAAE" w14:textId="77777777" w:rsidR="00D61A7F" w:rsidRPr="00B020FC" w:rsidRDefault="00D61A7F" w:rsidP="00D61A7F">
            <w:pPr>
              <w:pStyle w:val="Tnormal"/>
              <w:tabs>
                <w:tab w:val="clear" w:pos="284"/>
                <w:tab w:val="left" w:pos="142"/>
              </w:tabs>
              <w:rPr>
                <w:rFonts w:ascii="Arial" w:hAnsi="Arial" w:cs="Arial"/>
                <w:sz w:val="22"/>
                <w:szCs w:val="22"/>
              </w:rPr>
            </w:pPr>
          </w:p>
        </w:tc>
        <w:tc>
          <w:tcPr>
            <w:tcW w:w="531" w:type="dxa"/>
          </w:tcPr>
          <w:p w14:paraId="69638F75"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1248" w:type="dxa"/>
            <w:tcBorders>
              <w:bottom w:val="single" w:sz="4" w:space="0" w:color="auto"/>
            </w:tcBorders>
          </w:tcPr>
          <w:p w14:paraId="2B836B39"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627" w:type="dxa"/>
          </w:tcPr>
          <w:p w14:paraId="6BB53CE0"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1378" w:type="dxa"/>
            <w:tcBorders>
              <w:bottom w:val="single" w:sz="4" w:space="0" w:color="auto"/>
            </w:tcBorders>
          </w:tcPr>
          <w:p w14:paraId="22ED4F0B" w14:textId="77777777" w:rsidR="00D61A7F" w:rsidRPr="00B020FC" w:rsidRDefault="00D61A7F" w:rsidP="00D61A7F">
            <w:pPr>
              <w:pStyle w:val="Tdec"/>
              <w:tabs>
                <w:tab w:val="clear" w:pos="993"/>
                <w:tab w:val="decimal" w:pos="1656"/>
              </w:tabs>
              <w:ind w:right="86"/>
              <w:rPr>
                <w:rFonts w:ascii="Arial" w:hAnsi="Arial" w:cs="Arial"/>
                <w:sz w:val="22"/>
                <w:szCs w:val="22"/>
              </w:rPr>
            </w:pPr>
          </w:p>
        </w:tc>
      </w:tr>
      <w:tr w:rsidR="00D61A7F" w:rsidRPr="0032071B" w14:paraId="6B0CEF45" w14:textId="77777777" w:rsidTr="007869A1">
        <w:trPr>
          <w:cantSplit/>
          <w:trHeight w:val="567"/>
        </w:trPr>
        <w:tc>
          <w:tcPr>
            <w:tcW w:w="5288" w:type="dxa"/>
            <w:vAlign w:val="center"/>
          </w:tcPr>
          <w:p w14:paraId="245BEB29" w14:textId="77777777" w:rsidR="00D61A7F" w:rsidRPr="00B020FC" w:rsidRDefault="00D61A7F" w:rsidP="00D61A7F">
            <w:pPr>
              <w:pStyle w:val="Tnormal"/>
              <w:tabs>
                <w:tab w:val="clear" w:pos="284"/>
                <w:tab w:val="left" w:pos="142"/>
              </w:tabs>
              <w:ind w:firstLine="0"/>
              <w:rPr>
                <w:rFonts w:ascii="Arial" w:hAnsi="Arial" w:cs="Arial"/>
                <w:b/>
                <w:sz w:val="22"/>
                <w:szCs w:val="22"/>
              </w:rPr>
            </w:pPr>
            <w:r>
              <w:rPr>
                <w:rFonts w:ascii="Arial" w:hAnsi="Arial" w:cs="Arial"/>
                <w:b/>
                <w:sz w:val="22"/>
                <w:szCs w:val="22"/>
              </w:rPr>
              <w:t>FRS 102</w:t>
            </w:r>
          </w:p>
        </w:tc>
        <w:tc>
          <w:tcPr>
            <w:tcW w:w="531" w:type="dxa"/>
            <w:vAlign w:val="center"/>
          </w:tcPr>
          <w:p w14:paraId="7559520B" w14:textId="77777777" w:rsidR="00D61A7F" w:rsidRPr="00B020FC" w:rsidRDefault="00D61A7F" w:rsidP="00D61A7F">
            <w:pPr>
              <w:pStyle w:val="Tdec"/>
              <w:tabs>
                <w:tab w:val="clear" w:pos="993"/>
                <w:tab w:val="decimal" w:pos="1656"/>
              </w:tabs>
              <w:ind w:right="86"/>
              <w:rPr>
                <w:rFonts w:ascii="Arial" w:hAnsi="Arial" w:cs="Arial"/>
                <w:sz w:val="22"/>
                <w:szCs w:val="22"/>
              </w:rPr>
            </w:pPr>
          </w:p>
        </w:tc>
        <w:tc>
          <w:tcPr>
            <w:tcW w:w="1248" w:type="dxa"/>
            <w:tcBorders>
              <w:top w:val="single" w:sz="4" w:space="0" w:color="auto"/>
              <w:bottom w:val="single" w:sz="4" w:space="0" w:color="auto"/>
            </w:tcBorders>
            <w:vAlign w:val="center"/>
          </w:tcPr>
          <w:p w14:paraId="7EAD5B24" w14:textId="192796A8" w:rsidR="00D61A7F" w:rsidRPr="00B020FC" w:rsidRDefault="007869A1" w:rsidP="00D61A7F">
            <w:pPr>
              <w:pStyle w:val="Tdec"/>
              <w:tabs>
                <w:tab w:val="clear" w:pos="993"/>
                <w:tab w:val="decimal" w:pos="1656"/>
              </w:tabs>
              <w:ind w:right="86"/>
              <w:rPr>
                <w:rFonts w:ascii="Arial" w:hAnsi="Arial" w:cs="Arial"/>
                <w:sz w:val="22"/>
                <w:szCs w:val="22"/>
              </w:rPr>
            </w:pPr>
            <w:r>
              <w:rPr>
                <w:rFonts w:ascii="Arial" w:hAnsi="Arial" w:cs="Arial"/>
                <w:sz w:val="22"/>
                <w:szCs w:val="22"/>
              </w:rPr>
              <w:t>(49,175)</w:t>
            </w:r>
          </w:p>
        </w:tc>
        <w:tc>
          <w:tcPr>
            <w:tcW w:w="627" w:type="dxa"/>
            <w:vAlign w:val="center"/>
          </w:tcPr>
          <w:p w14:paraId="5B8E6AB0" w14:textId="77777777" w:rsidR="00D61A7F" w:rsidRPr="00B020FC" w:rsidRDefault="00D61A7F" w:rsidP="00D61A7F">
            <w:pPr>
              <w:pStyle w:val="Tdec"/>
              <w:tabs>
                <w:tab w:val="clear" w:pos="993"/>
                <w:tab w:val="decimal" w:pos="1656"/>
              </w:tabs>
              <w:ind w:right="86"/>
              <w:jc w:val="right"/>
              <w:rPr>
                <w:rFonts w:ascii="Arial" w:hAnsi="Arial" w:cs="Arial"/>
                <w:sz w:val="22"/>
                <w:szCs w:val="22"/>
              </w:rPr>
            </w:pPr>
          </w:p>
        </w:tc>
        <w:tc>
          <w:tcPr>
            <w:tcW w:w="1378" w:type="dxa"/>
            <w:tcBorders>
              <w:top w:val="single" w:sz="4" w:space="0" w:color="auto"/>
              <w:bottom w:val="single" w:sz="4" w:space="0" w:color="auto"/>
            </w:tcBorders>
            <w:vAlign w:val="center"/>
          </w:tcPr>
          <w:p w14:paraId="019FD076" w14:textId="77777777" w:rsidR="00D61A7F" w:rsidRPr="00B020FC" w:rsidRDefault="00D61A7F" w:rsidP="00D61A7F">
            <w:pPr>
              <w:pStyle w:val="Tdec"/>
              <w:tabs>
                <w:tab w:val="clear" w:pos="993"/>
                <w:tab w:val="decimal" w:pos="1656"/>
              </w:tabs>
              <w:ind w:right="86"/>
              <w:rPr>
                <w:rFonts w:ascii="Arial" w:hAnsi="Arial" w:cs="Arial"/>
                <w:sz w:val="22"/>
                <w:szCs w:val="22"/>
              </w:rPr>
            </w:pPr>
            <w:r>
              <w:rPr>
                <w:rFonts w:ascii="Arial" w:hAnsi="Arial" w:cs="Arial"/>
                <w:sz w:val="22"/>
                <w:szCs w:val="22"/>
              </w:rPr>
              <w:t>(62,275)</w:t>
            </w:r>
          </w:p>
        </w:tc>
      </w:tr>
    </w:tbl>
    <w:p w14:paraId="6A4410F1" w14:textId="77777777" w:rsidR="00D61A7F" w:rsidRDefault="00D61A7F" w:rsidP="00D61A7F">
      <w:pPr>
        <w:spacing w:after="160" w:line="259" w:lineRule="auto"/>
        <w:rPr>
          <w:rFonts w:cs="Arial"/>
          <w:szCs w:val="22"/>
        </w:rPr>
      </w:pPr>
    </w:p>
    <w:p w14:paraId="504AE210" w14:textId="77777777" w:rsidR="00D61A7F" w:rsidRDefault="00D61A7F" w:rsidP="00D61A7F">
      <w:pPr>
        <w:spacing w:after="160" w:line="259" w:lineRule="auto"/>
        <w:rPr>
          <w:rFonts w:cs="Arial"/>
          <w:szCs w:val="22"/>
        </w:rPr>
      </w:pPr>
      <w:r>
        <w:rPr>
          <w:rFonts w:cs="Arial"/>
          <w:szCs w:val="22"/>
        </w:rPr>
        <w:t>Notes:</w:t>
      </w:r>
    </w:p>
    <w:p w14:paraId="540B4225" w14:textId="205C7264" w:rsidR="00910EEB" w:rsidRPr="005D0D57" w:rsidRDefault="00910EEB" w:rsidP="00910EEB">
      <w:pPr>
        <w:spacing w:after="160" w:line="259" w:lineRule="auto"/>
        <w:rPr>
          <w:rFonts w:cs="Arial"/>
          <w:szCs w:val="22"/>
        </w:rPr>
      </w:pPr>
      <w:r w:rsidRPr="005D0D57">
        <w:rPr>
          <w:rFonts w:cs="Arial"/>
          <w:szCs w:val="22"/>
        </w:rPr>
        <w:t>FRS 102 requires short term employee benefits to be charged to the profit and loss account</w:t>
      </w:r>
      <w:r>
        <w:rPr>
          <w:rFonts w:cs="Arial"/>
          <w:szCs w:val="22"/>
        </w:rPr>
        <w:t xml:space="preserve">, for the period </w:t>
      </w:r>
      <w:r w:rsidRPr="005D0D57">
        <w:rPr>
          <w:rFonts w:cs="Arial"/>
          <w:szCs w:val="22"/>
        </w:rPr>
        <w:t xml:space="preserve">the employee service is received. This has resulted in the </w:t>
      </w:r>
      <w:r>
        <w:rPr>
          <w:rFonts w:cs="Arial"/>
          <w:szCs w:val="22"/>
        </w:rPr>
        <w:t>IDEA</w:t>
      </w:r>
      <w:r w:rsidRPr="005D0D57">
        <w:rPr>
          <w:rFonts w:cs="Arial"/>
          <w:szCs w:val="22"/>
        </w:rPr>
        <w:t xml:space="preserve"> recognising a liability for holiday pay </w:t>
      </w:r>
      <w:r>
        <w:rPr>
          <w:rFonts w:cs="Arial"/>
          <w:szCs w:val="22"/>
        </w:rPr>
        <w:t>of £211</w:t>
      </w:r>
      <w:r w:rsidRPr="005D0D57">
        <w:rPr>
          <w:rFonts w:cs="Arial"/>
          <w:szCs w:val="22"/>
        </w:rPr>
        <w:t>,000 on transition to FRS 102. Previously holiday pay accruals were not recognised and were charged to the profit and loss account as they were pa</w:t>
      </w:r>
      <w:r>
        <w:rPr>
          <w:rFonts w:cs="Arial"/>
          <w:szCs w:val="22"/>
        </w:rPr>
        <w:t>id. For the transition to 31 March 2015</w:t>
      </w:r>
      <w:r w:rsidRPr="005D0D57">
        <w:rPr>
          <w:rFonts w:cs="Arial"/>
          <w:szCs w:val="22"/>
        </w:rPr>
        <w:t xml:space="preserve"> </w:t>
      </w:r>
      <w:r>
        <w:rPr>
          <w:rFonts w:cs="Arial"/>
          <w:szCs w:val="22"/>
        </w:rPr>
        <w:t>it has been assumed, that liability at the 1 April 2014 was the same as at 31 March 2015, with the £211,000 liability charged to the General Reserves at the start of the accounting period</w:t>
      </w:r>
      <w:r w:rsidRPr="005D0D57">
        <w:rPr>
          <w:rFonts w:cs="Arial"/>
          <w:szCs w:val="22"/>
        </w:rPr>
        <w:t>.</w:t>
      </w:r>
    </w:p>
    <w:p w14:paraId="70F4C8BC" w14:textId="77777777" w:rsidR="00D61A7F" w:rsidRDefault="00D61A7F" w:rsidP="00D61A7F">
      <w:pPr>
        <w:spacing w:after="160" w:line="259" w:lineRule="auto"/>
        <w:rPr>
          <w:rFonts w:cs="Arial"/>
          <w:szCs w:val="22"/>
        </w:rPr>
      </w:pPr>
    </w:p>
    <w:p w14:paraId="79C5D2B3" w14:textId="77777777" w:rsidR="00D61A7F" w:rsidRDefault="00D61A7F" w:rsidP="00D61A7F">
      <w:pPr>
        <w:spacing w:after="160" w:line="259" w:lineRule="auto"/>
        <w:rPr>
          <w:rFonts w:cs="Arial"/>
          <w:szCs w:val="22"/>
        </w:rPr>
      </w:pPr>
      <w:r>
        <w:rPr>
          <w:rFonts w:cs="Arial"/>
          <w:szCs w:val="22"/>
        </w:rPr>
        <w:t>Shown below are comparative extracts from the 2014/15 Accounts with the restated figures:</w:t>
      </w:r>
    </w:p>
    <w:p w14:paraId="3531075A" w14:textId="4E5CA718" w:rsidR="00D61A7F" w:rsidRDefault="00D61A7F" w:rsidP="00D61A7F">
      <w:pPr>
        <w:spacing w:after="160" w:line="259" w:lineRule="auto"/>
        <w:rPr>
          <w:rFonts w:cs="Arial"/>
          <w:szCs w:val="22"/>
        </w:rPr>
      </w:pPr>
    </w:p>
    <w:p w14:paraId="09B02700" w14:textId="44C3E286" w:rsidR="00D61A7F" w:rsidRDefault="00910EEB" w:rsidP="00D61A7F">
      <w:pPr>
        <w:spacing w:after="160" w:line="259" w:lineRule="auto"/>
        <w:rPr>
          <w:rFonts w:cs="Arial"/>
          <w:szCs w:val="22"/>
        </w:rPr>
      </w:pPr>
      <w:r w:rsidRPr="00910EEB">
        <w:rPr>
          <w:noProof/>
        </w:rPr>
        <w:lastRenderedPageBreak/>
        <w:drawing>
          <wp:inline distT="0" distB="0" distL="0" distR="0" wp14:anchorId="2919A7F3" wp14:editId="28BF036A">
            <wp:extent cx="5760085" cy="4168046"/>
            <wp:effectExtent l="19050" t="19050" r="12065"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168046"/>
                    </a:xfrm>
                    <a:prstGeom prst="rect">
                      <a:avLst/>
                    </a:prstGeom>
                    <a:noFill/>
                    <a:ln w="19050">
                      <a:solidFill>
                        <a:schemeClr val="tx1"/>
                      </a:solidFill>
                    </a:ln>
                  </pic:spPr>
                </pic:pic>
              </a:graphicData>
            </a:graphic>
          </wp:inline>
        </w:drawing>
      </w:r>
    </w:p>
    <w:p w14:paraId="16C60CD5" w14:textId="77777777" w:rsidR="00F502B1" w:rsidRDefault="00F502B1" w:rsidP="00F502B1">
      <w:pPr>
        <w:spacing w:after="160" w:line="259" w:lineRule="auto"/>
        <w:rPr>
          <w:rFonts w:cs="Arial"/>
          <w:szCs w:val="22"/>
        </w:rPr>
      </w:pPr>
      <w:r>
        <w:rPr>
          <w:rFonts w:cs="Arial"/>
          <w:szCs w:val="22"/>
        </w:rPr>
        <w:t>NB The 3 pension adjustments shown under other comprehensive income will be combined into a single “</w:t>
      </w:r>
      <w:proofErr w:type="spellStart"/>
      <w:r w:rsidRPr="00053E09">
        <w:rPr>
          <w:rFonts w:cs="Arial"/>
          <w:szCs w:val="22"/>
        </w:rPr>
        <w:t>Remeasurement</w:t>
      </w:r>
      <w:proofErr w:type="spellEnd"/>
      <w:r w:rsidRPr="00053E09">
        <w:rPr>
          <w:rFonts w:cs="Arial"/>
          <w:szCs w:val="22"/>
        </w:rPr>
        <w:t xml:space="preserve"> of net defined benefit obligation</w:t>
      </w:r>
      <w:r>
        <w:rPr>
          <w:rFonts w:cs="Arial"/>
          <w:szCs w:val="22"/>
        </w:rPr>
        <w:t>” disclosure in the new FRS102 accounts presentation.</w:t>
      </w:r>
    </w:p>
    <w:p w14:paraId="290743F0" w14:textId="77777777" w:rsidR="00F502B1" w:rsidRDefault="00F502B1" w:rsidP="00D61A7F">
      <w:pPr>
        <w:spacing w:after="160" w:line="259" w:lineRule="auto"/>
        <w:rPr>
          <w:rFonts w:cs="Arial"/>
          <w:szCs w:val="22"/>
        </w:rPr>
      </w:pPr>
    </w:p>
    <w:p w14:paraId="45D4D46F" w14:textId="26C13306" w:rsidR="00D61A7F" w:rsidRDefault="002D0900" w:rsidP="00D61A7F">
      <w:pPr>
        <w:pStyle w:val="NormalIndent"/>
        <w:ind w:left="0"/>
        <w:rPr>
          <w:rFonts w:ascii="Arial" w:hAnsi="Arial" w:cs="Arial"/>
        </w:rPr>
      </w:pPr>
      <w:r w:rsidRPr="002D0900">
        <w:rPr>
          <w:noProof/>
        </w:rPr>
        <w:lastRenderedPageBreak/>
        <w:drawing>
          <wp:inline distT="0" distB="0" distL="0" distR="0" wp14:anchorId="1ADCDDB9" wp14:editId="5BC85BF2">
            <wp:extent cx="5760085" cy="4573594"/>
            <wp:effectExtent l="19050" t="19050" r="12065"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4573594"/>
                    </a:xfrm>
                    <a:prstGeom prst="rect">
                      <a:avLst/>
                    </a:prstGeom>
                    <a:noFill/>
                    <a:ln w="19050">
                      <a:solidFill>
                        <a:schemeClr val="tx1"/>
                      </a:solidFill>
                    </a:ln>
                  </pic:spPr>
                </pic:pic>
              </a:graphicData>
            </a:graphic>
          </wp:inline>
        </w:drawing>
      </w:r>
    </w:p>
    <w:p w14:paraId="76E5EAA6" w14:textId="77777777" w:rsidR="002D0900" w:rsidRDefault="002D0900">
      <w:pPr>
        <w:spacing w:after="160" w:line="259" w:lineRule="auto"/>
        <w:rPr>
          <w:rFonts w:cs="Arial"/>
          <w:b/>
          <w:szCs w:val="22"/>
        </w:rPr>
      </w:pPr>
    </w:p>
    <w:sectPr w:rsidR="002D0900" w:rsidSect="00E3515A">
      <w:headerReference w:type="default" r:id="rId11"/>
      <w:footerReference w:type="default" r:id="rId12"/>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02E6A" w14:textId="77777777" w:rsidR="000336D2" w:rsidRDefault="000336D2">
      <w:r>
        <w:separator/>
      </w:r>
    </w:p>
  </w:endnote>
  <w:endnote w:type="continuationSeparator" w:id="0">
    <w:p w14:paraId="7623C6E1" w14:textId="77777777" w:rsidR="000336D2" w:rsidRDefault="0003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5824" w14:textId="35A66B44" w:rsidR="000336D2" w:rsidRDefault="000336D2">
    <w:pPr>
      <w:pStyle w:val="Footer"/>
      <w:jc w:val="center"/>
    </w:pPr>
  </w:p>
  <w:p w14:paraId="230A6D54" w14:textId="77777777" w:rsidR="000336D2" w:rsidRDefault="0003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87E8" w14:textId="77777777" w:rsidR="000336D2" w:rsidRDefault="000336D2">
      <w:r>
        <w:separator/>
      </w:r>
    </w:p>
  </w:footnote>
  <w:footnote w:type="continuationSeparator" w:id="0">
    <w:p w14:paraId="39833113" w14:textId="77777777" w:rsidR="000336D2" w:rsidRDefault="0003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2"/>
      <w:gridCol w:w="3219"/>
    </w:tblGrid>
    <w:tr w:rsidR="000336D2" w:rsidRPr="004F266E" w14:paraId="256B113F" w14:textId="77777777" w:rsidTr="003315E1">
      <w:tc>
        <w:tcPr>
          <w:tcW w:w="5852" w:type="dxa"/>
          <w:vMerge w:val="restart"/>
          <w:shd w:val="clear" w:color="auto" w:fill="auto"/>
        </w:tcPr>
        <w:p w14:paraId="4E27F0DA" w14:textId="77777777" w:rsidR="000336D2" w:rsidRPr="00374227" w:rsidRDefault="000336D2" w:rsidP="000336D2">
          <w:pPr>
            <w:pStyle w:val="Header"/>
            <w:tabs>
              <w:tab w:val="clear" w:pos="4153"/>
              <w:tab w:val="clear" w:pos="8306"/>
              <w:tab w:val="center" w:pos="2923"/>
            </w:tabs>
          </w:pPr>
          <w:r>
            <w:rPr>
              <w:rFonts w:cs="Arial"/>
              <w:noProof/>
              <w:sz w:val="44"/>
              <w:szCs w:val="44"/>
            </w:rPr>
            <w:drawing>
              <wp:inline distT="0" distB="0" distL="0" distR="0" wp14:anchorId="75C09F31" wp14:editId="79A80C17">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19" w:type="dxa"/>
          <w:shd w:val="clear" w:color="auto" w:fill="auto"/>
        </w:tcPr>
        <w:p w14:paraId="6D4FB1F6" w14:textId="20C2DE68" w:rsidR="000336D2" w:rsidRPr="00243540" w:rsidRDefault="00604788" w:rsidP="000336D2">
          <w:pPr>
            <w:pStyle w:val="Header"/>
            <w:rPr>
              <w:b/>
              <w:szCs w:val="22"/>
            </w:rPr>
          </w:pPr>
          <w:r>
            <w:rPr>
              <w:rFonts w:cs="Arial"/>
              <w:b/>
              <w:szCs w:val="22"/>
            </w:rPr>
            <w:t>IDe</w:t>
          </w:r>
          <w:r w:rsidR="00231CF1">
            <w:rPr>
              <w:rFonts w:cs="Arial"/>
              <w:b/>
              <w:szCs w:val="22"/>
            </w:rPr>
            <w:t>A Company</w:t>
          </w:r>
          <w:r w:rsidR="000336D2">
            <w:rPr>
              <w:rFonts w:cs="Arial"/>
              <w:b/>
              <w:szCs w:val="22"/>
            </w:rPr>
            <w:t xml:space="preserve"> Board</w:t>
          </w:r>
          <w:r w:rsidR="000336D2" w:rsidRPr="00E85128">
            <w:rPr>
              <w:rFonts w:cs="Arial"/>
              <w:b/>
              <w:szCs w:val="22"/>
            </w:rPr>
            <w:t xml:space="preserve"> </w:t>
          </w:r>
        </w:p>
      </w:tc>
    </w:tr>
    <w:tr w:rsidR="000336D2" w14:paraId="4C61A5CF" w14:textId="77777777" w:rsidTr="000336D2">
      <w:trPr>
        <w:trHeight w:val="450"/>
      </w:trPr>
      <w:tc>
        <w:tcPr>
          <w:tcW w:w="5852" w:type="dxa"/>
          <w:vMerge/>
          <w:shd w:val="clear" w:color="auto" w:fill="auto"/>
        </w:tcPr>
        <w:p w14:paraId="17816080" w14:textId="77777777" w:rsidR="000336D2" w:rsidRPr="00374227" w:rsidRDefault="000336D2" w:rsidP="000336D2">
          <w:pPr>
            <w:pStyle w:val="Header"/>
          </w:pPr>
        </w:p>
      </w:tc>
      <w:tc>
        <w:tcPr>
          <w:tcW w:w="3219" w:type="dxa"/>
          <w:shd w:val="clear" w:color="auto" w:fill="auto"/>
        </w:tcPr>
        <w:p w14:paraId="595FD455" w14:textId="1EECC55E" w:rsidR="000336D2" w:rsidRPr="009E796F" w:rsidRDefault="000336D2" w:rsidP="000336D2">
          <w:pPr>
            <w:pStyle w:val="Header"/>
            <w:spacing w:before="60"/>
            <w:rPr>
              <w:rFonts w:cs="Arial"/>
              <w:szCs w:val="22"/>
              <w:highlight w:val="yellow"/>
            </w:rPr>
          </w:pPr>
          <w:r>
            <w:rPr>
              <w:rFonts w:cs="Arial"/>
              <w:szCs w:val="22"/>
            </w:rPr>
            <w:t>2 March 2016</w:t>
          </w:r>
        </w:p>
      </w:tc>
    </w:tr>
    <w:tr w:rsidR="000336D2" w:rsidRPr="004F266E" w14:paraId="22BB5F35" w14:textId="77777777" w:rsidTr="003315E1">
      <w:trPr>
        <w:trHeight w:val="708"/>
      </w:trPr>
      <w:tc>
        <w:tcPr>
          <w:tcW w:w="5852" w:type="dxa"/>
          <w:vMerge/>
          <w:shd w:val="clear" w:color="auto" w:fill="auto"/>
        </w:tcPr>
        <w:p w14:paraId="5922C360" w14:textId="77777777" w:rsidR="000336D2" w:rsidRPr="00374227" w:rsidRDefault="000336D2" w:rsidP="003315E1">
          <w:pPr>
            <w:pStyle w:val="Header"/>
          </w:pPr>
        </w:p>
      </w:tc>
      <w:tc>
        <w:tcPr>
          <w:tcW w:w="3219" w:type="dxa"/>
          <w:shd w:val="clear" w:color="auto" w:fill="auto"/>
          <w:vAlign w:val="center"/>
        </w:tcPr>
        <w:p w14:paraId="25AE172A" w14:textId="082143B1" w:rsidR="000336D2" w:rsidRPr="00374227" w:rsidRDefault="000336D2" w:rsidP="003315E1">
          <w:pPr>
            <w:pStyle w:val="Header"/>
            <w:spacing w:before="60"/>
            <w:rPr>
              <w:rFonts w:cs="Arial"/>
              <w:b/>
              <w:szCs w:val="22"/>
            </w:rPr>
          </w:pPr>
        </w:p>
      </w:tc>
    </w:tr>
  </w:tbl>
  <w:p w14:paraId="09402988" w14:textId="77777777" w:rsidR="000336D2" w:rsidRPr="0021114E" w:rsidRDefault="000336D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55E"/>
    <w:multiLevelType w:val="hybridMultilevel"/>
    <w:tmpl w:val="E73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0BEE"/>
    <w:multiLevelType w:val="hybridMultilevel"/>
    <w:tmpl w:val="A04021F0"/>
    <w:lvl w:ilvl="0" w:tplc="9FBED100">
      <w:start w:val="9"/>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31A57"/>
    <w:multiLevelType w:val="hybridMultilevel"/>
    <w:tmpl w:val="59E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92A63"/>
    <w:multiLevelType w:val="hybridMultilevel"/>
    <w:tmpl w:val="92DA35AC"/>
    <w:lvl w:ilvl="0" w:tplc="6B60CCEC">
      <w:start w:val="23"/>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D60260"/>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2D17B8"/>
    <w:multiLevelType w:val="hybridMultilevel"/>
    <w:tmpl w:val="B9907600"/>
    <w:lvl w:ilvl="0" w:tplc="0A4E982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17193D"/>
    <w:multiLevelType w:val="hybridMultilevel"/>
    <w:tmpl w:val="2762261C"/>
    <w:lvl w:ilvl="0" w:tplc="609EE4B8">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D63837"/>
    <w:multiLevelType w:val="hybridMultilevel"/>
    <w:tmpl w:val="C3A64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8F51D0"/>
    <w:multiLevelType w:val="hybridMultilevel"/>
    <w:tmpl w:val="CBE0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C18D1"/>
    <w:multiLevelType w:val="hybridMultilevel"/>
    <w:tmpl w:val="766A1B4E"/>
    <w:lvl w:ilvl="0" w:tplc="5D5E42D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F1E40"/>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11"/>
  </w:num>
  <w:num w:numId="5">
    <w:abstractNumId w:val="7"/>
  </w:num>
  <w:num w:numId="6">
    <w:abstractNumId w:val="0"/>
  </w:num>
  <w:num w:numId="7">
    <w:abstractNumId w:val="1"/>
  </w:num>
  <w:num w:numId="8">
    <w:abstractNumId w:val="10"/>
  </w:num>
  <w:num w:numId="9">
    <w:abstractNumId w:val="7"/>
    <w:lvlOverride w:ilvl="0">
      <w:startOverride w:val="1"/>
    </w:lvlOverride>
  </w:num>
  <w:num w:numId="10">
    <w:abstractNumId w:val="7"/>
    <w:lvlOverride w:ilvl="0">
      <w:startOverride w:val="1"/>
    </w:lvlOverride>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2F"/>
    <w:rsid w:val="000035DF"/>
    <w:rsid w:val="00024194"/>
    <w:rsid w:val="00024597"/>
    <w:rsid w:val="000336D2"/>
    <w:rsid w:val="00053E09"/>
    <w:rsid w:val="000543F4"/>
    <w:rsid w:val="00075DA6"/>
    <w:rsid w:val="000A4B2B"/>
    <w:rsid w:val="000A7AF6"/>
    <w:rsid w:val="00120F57"/>
    <w:rsid w:val="00126AEF"/>
    <w:rsid w:val="001523DC"/>
    <w:rsid w:val="001645A2"/>
    <w:rsid w:val="00173B5A"/>
    <w:rsid w:val="00185FFB"/>
    <w:rsid w:val="001911D3"/>
    <w:rsid w:val="001A1AA7"/>
    <w:rsid w:val="001B2FAF"/>
    <w:rsid w:val="001D6325"/>
    <w:rsid w:val="001E7929"/>
    <w:rsid w:val="00210ED6"/>
    <w:rsid w:val="00231CF1"/>
    <w:rsid w:val="002457F2"/>
    <w:rsid w:val="00246E26"/>
    <w:rsid w:val="00281EB4"/>
    <w:rsid w:val="002822E5"/>
    <w:rsid w:val="00287055"/>
    <w:rsid w:val="00294C9A"/>
    <w:rsid w:val="002D0900"/>
    <w:rsid w:val="00301EEA"/>
    <w:rsid w:val="00305CB1"/>
    <w:rsid w:val="003315E1"/>
    <w:rsid w:val="00336555"/>
    <w:rsid w:val="003A76F8"/>
    <w:rsid w:val="003C3F6C"/>
    <w:rsid w:val="003D2631"/>
    <w:rsid w:val="003D50EF"/>
    <w:rsid w:val="004131E0"/>
    <w:rsid w:val="00414934"/>
    <w:rsid w:val="004177E8"/>
    <w:rsid w:val="00426B44"/>
    <w:rsid w:val="00436674"/>
    <w:rsid w:val="00446038"/>
    <w:rsid w:val="00455063"/>
    <w:rsid w:val="00456873"/>
    <w:rsid w:val="00460C7B"/>
    <w:rsid w:val="00483DD7"/>
    <w:rsid w:val="00485E15"/>
    <w:rsid w:val="00495F25"/>
    <w:rsid w:val="004B63B2"/>
    <w:rsid w:val="004D7D26"/>
    <w:rsid w:val="004E40FE"/>
    <w:rsid w:val="005008EF"/>
    <w:rsid w:val="00504F70"/>
    <w:rsid w:val="005064A3"/>
    <w:rsid w:val="00524657"/>
    <w:rsid w:val="00544E41"/>
    <w:rsid w:val="005527D4"/>
    <w:rsid w:val="005A3D5B"/>
    <w:rsid w:val="005B21A4"/>
    <w:rsid w:val="005D0D57"/>
    <w:rsid w:val="005F740D"/>
    <w:rsid w:val="00604788"/>
    <w:rsid w:val="00634058"/>
    <w:rsid w:val="006527D2"/>
    <w:rsid w:val="00653189"/>
    <w:rsid w:val="0067421E"/>
    <w:rsid w:val="006807E2"/>
    <w:rsid w:val="006A38D8"/>
    <w:rsid w:val="006A77E2"/>
    <w:rsid w:val="006B30F1"/>
    <w:rsid w:val="006B45A7"/>
    <w:rsid w:val="006D2CE3"/>
    <w:rsid w:val="006D474E"/>
    <w:rsid w:val="006E48E1"/>
    <w:rsid w:val="006E7D06"/>
    <w:rsid w:val="006F3734"/>
    <w:rsid w:val="0076037F"/>
    <w:rsid w:val="0076305E"/>
    <w:rsid w:val="00773313"/>
    <w:rsid w:val="007869A1"/>
    <w:rsid w:val="00787869"/>
    <w:rsid w:val="0079112F"/>
    <w:rsid w:val="007A3826"/>
    <w:rsid w:val="007B7242"/>
    <w:rsid w:val="007E06C6"/>
    <w:rsid w:val="00806D1B"/>
    <w:rsid w:val="00807FF7"/>
    <w:rsid w:val="00814210"/>
    <w:rsid w:val="00830651"/>
    <w:rsid w:val="00835D4E"/>
    <w:rsid w:val="008460D4"/>
    <w:rsid w:val="00881610"/>
    <w:rsid w:val="00890FC8"/>
    <w:rsid w:val="00894CF8"/>
    <w:rsid w:val="008A6647"/>
    <w:rsid w:val="008B11D7"/>
    <w:rsid w:val="008D3913"/>
    <w:rsid w:val="008D3C49"/>
    <w:rsid w:val="00910EEB"/>
    <w:rsid w:val="0091247E"/>
    <w:rsid w:val="00927BC1"/>
    <w:rsid w:val="00963821"/>
    <w:rsid w:val="009815F8"/>
    <w:rsid w:val="009E796F"/>
    <w:rsid w:val="00A11DB6"/>
    <w:rsid w:val="00A306F5"/>
    <w:rsid w:val="00A76374"/>
    <w:rsid w:val="00AA3E60"/>
    <w:rsid w:val="00AB6C21"/>
    <w:rsid w:val="00AB7F67"/>
    <w:rsid w:val="00AD3049"/>
    <w:rsid w:val="00AE2EFB"/>
    <w:rsid w:val="00B020FC"/>
    <w:rsid w:val="00B322C3"/>
    <w:rsid w:val="00B377A6"/>
    <w:rsid w:val="00B7087E"/>
    <w:rsid w:val="00B8270A"/>
    <w:rsid w:val="00B90F7E"/>
    <w:rsid w:val="00C40AA9"/>
    <w:rsid w:val="00C452FA"/>
    <w:rsid w:val="00C542C5"/>
    <w:rsid w:val="00C554C3"/>
    <w:rsid w:val="00C71B36"/>
    <w:rsid w:val="00C738A0"/>
    <w:rsid w:val="00C914A6"/>
    <w:rsid w:val="00CB5D4F"/>
    <w:rsid w:val="00CB7E05"/>
    <w:rsid w:val="00D02534"/>
    <w:rsid w:val="00D16F2F"/>
    <w:rsid w:val="00D2668E"/>
    <w:rsid w:val="00D61A7F"/>
    <w:rsid w:val="00D61CE0"/>
    <w:rsid w:val="00D85793"/>
    <w:rsid w:val="00D957A1"/>
    <w:rsid w:val="00DD7DCA"/>
    <w:rsid w:val="00E02ED0"/>
    <w:rsid w:val="00E13569"/>
    <w:rsid w:val="00E3515A"/>
    <w:rsid w:val="00E6463E"/>
    <w:rsid w:val="00E74F2C"/>
    <w:rsid w:val="00E81059"/>
    <w:rsid w:val="00E85356"/>
    <w:rsid w:val="00E97276"/>
    <w:rsid w:val="00EA183E"/>
    <w:rsid w:val="00EA6FCB"/>
    <w:rsid w:val="00EC29CA"/>
    <w:rsid w:val="00ED29F8"/>
    <w:rsid w:val="00EE7DCB"/>
    <w:rsid w:val="00EF611E"/>
    <w:rsid w:val="00F00CE8"/>
    <w:rsid w:val="00F31470"/>
    <w:rsid w:val="00F502B1"/>
    <w:rsid w:val="00F52BDF"/>
    <w:rsid w:val="00F97B7A"/>
    <w:rsid w:val="00FB1F7F"/>
    <w:rsid w:val="00FB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C0F9"/>
  <w15:chartTrackingRefBased/>
  <w15:docId w15:val="{819B3C45-8DFD-41EE-8A3F-0F4000B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DF"/>
    <w:pPr>
      <w:spacing w:after="0" w:line="240" w:lineRule="auto"/>
    </w:pPr>
    <w:rPr>
      <w:rFonts w:ascii="Arial" w:eastAsia="Times New Roman" w:hAnsi="Arial" w:cs="Times New Roman"/>
      <w:szCs w:val="20"/>
      <w:lang w:eastAsia="en-GB"/>
    </w:rPr>
  </w:style>
  <w:style w:type="paragraph" w:styleId="Heading2">
    <w:name w:val="heading 2"/>
    <w:basedOn w:val="Normal"/>
    <w:next w:val="NormalIndent"/>
    <w:link w:val="Heading2Char"/>
    <w:qFormat/>
    <w:rsid w:val="00F52BDF"/>
    <w:pPr>
      <w:keepNext/>
      <w:numPr>
        <w:numId w:val="5"/>
      </w:numPr>
      <w:spacing w:after="120"/>
      <w:outlineLvl w:val="1"/>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15A"/>
    <w:pPr>
      <w:tabs>
        <w:tab w:val="center" w:pos="4153"/>
        <w:tab w:val="right" w:pos="8306"/>
      </w:tabs>
    </w:pPr>
  </w:style>
  <w:style w:type="character" w:customStyle="1" w:styleId="HeaderChar">
    <w:name w:val="Header Char"/>
    <w:basedOn w:val="DefaultParagraphFont"/>
    <w:link w:val="Header"/>
    <w:uiPriority w:val="99"/>
    <w:rsid w:val="00E3515A"/>
    <w:rPr>
      <w:rFonts w:ascii="Frutiger 45 Light" w:eastAsia="Times New Roman" w:hAnsi="Frutiger 45 Light" w:cs="Times New Roman"/>
      <w:szCs w:val="20"/>
      <w:lang w:eastAsia="en-GB"/>
    </w:rPr>
  </w:style>
  <w:style w:type="paragraph" w:customStyle="1" w:styleId="MainText">
    <w:name w:val="Main Text"/>
    <w:basedOn w:val="Normal"/>
    <w:link w:val="MainTextChar"/>
    <w:rsid w:val="00C914A6"/>
    <w:pPr>
      <w:spacing w:after="120" w:line="280" w:lineRule="exact"/>
    </w:pPr>
  </w:style>
  <w:style w:type="paragraph" w:styleId="ListParagraph">
    <w:name w:val="List Paragraph"/>
    <w:basedOn w:val="Normal"/>
    <w:uiPriority w:val="34"/>
    <w:qFormat/>
    <w:rsid w:val="00C914A6"/>
    <w:pPr>
      <w:spacing w:after="120"/>
      <w:ind w:left="720"/>
    </w:pPr>
  </w:style>
  <w:style w:type="paragraph" w:customStyle="1" w:styleId="LGAItemNoHeading">
    <w:name w:val="LGA Item No Heading"/>
    <w:basedOn w:val="MainText"/>
    <w:rsid w:val="00D16F2F"/>
    <w:pPr>
      <w:spacing w:before="600" w:after="240"/>
    </w:pPr>
    <w:rPr>
      <w:rFonts w:ascii="Frutiger 55 Roman" w:hAnsi="Frutiger 55 Roman"/>
      <w:b/>
      <w:sz w:val="32"/>
    </w:rPr>
  </w:style>
  <w:style w:type="character" w:styleId="Hyperlink">
    <w:name w:val="Hyperlink"/>
    <w:basedOn w:val="DefaultParagraphFont"/>
    <w:rsid w:val="00D16F2F"/>
    <w:rPr>
      <w:color w:val="0000FF"/>
      <w:u w:val="single"/>
    </w:rPr>
  </w:style>
  <w:style w:type="table" w:styleId="TableGrid">
    <w:name w:val="Table Grid"/>
    <w:basedOn w:val="TableNormal"/>
    <w:rsid w:val="00D16F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rsid w:val="00C914A6"/>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3315E1"/>
    <w:pPr>
      <w:tabs>
        <w:tab w:val="center" w:pos="4513"/>
        <w:tab w:val="right" w:pos="9026"/>
      </w:tabs>
    </w:pPr>
  </w:style>
  <w:style w:type="character" w:customStyle="1" w:styleId="FooterChar">
    <w:name w:val="Footer Char"/>
    <w:basedOn w:val="DefaultParagraphFont"/>
    <w:link w:val="Footer"/>
    <w:uiPriority w:val="99"/>
    <w:rsid w:val="003315E1"/>
    <w:rPr>
      <w:rFonts w:ascii="Frutiger 45 Light" w:eastAsia="Times New Roman" w:hAnsi="Frutiger 45 Light" w:cs="Times New Roman"/>
      <w:szCs w:val="20"/>
      <w:lang w:eastAsia="en-GB"/>
    </w:rPr>
  </w:style>
  <w:style w:type="character" w:customStyle="1" w:styleId="Heading2Char">
    <w:name w:val="Heading 2 Char"/>
    <w:basedOn w:val="DefaultParagraphFont"/>
    <w:link w:val="Heading2"/>
    <w:rsid w:val="00F52BDF"/>
    <w:rPr>
      <w:rFonts w:ascii="Arial Bold" w:eastAsia="Times New Roman" w:hAnsi="Arial Bold" w:cs="Times New Roman"/>
      <w:b/>
      <w:szCs w:val="20"/>
      <w:lang w:eastAsia="en-GB"/>
    </w:rPr>
  </w:style>
  <w:style w:type="paragraph" w:styleId="NormalIndent">
    <w:name w:val="Normal Indent"/>
    <w:basedOn w:val="Normal"/>
    <w:uiPriority w:val="99"/>
    <w:rsid w:val="00F52BDF"/>
    <w:pPr>
      <w:spacing w:after="120"/>
      <w:ind w:left="567"/>
      <w:jc w:val="both"/>
    </w:pPr>
    <w:rPr>
      <w:rFonts w:ascii="Times New Roman" w:hAnsi="Times New Roman"/>
      <w:sz w:val="20"/>
    </w:rPr>
  </w:style>
  <w:style w:type="paragraph" w:customStyle="1" w:styleId="StyleHeading1Arial">
    <w:name w:val="Style Heading 1 + Arial"/>
    <w:basedOn w:val="Heading2"/>
    <w:link w:val="StyleHeading1ArialCharChar"/>
    <w:rsid w:val="00F52BDF"/>
    <w:rPr>
      <w:sz w:val="24"/>
    </w:rPr>
  </w:style>
  <w:style w:type="character" w:customStyle="1" w:styleId="StyleHeading1ArialCharChar">
    <w:name w:val="Style Heading 1 + Arial Char Char"/>
    <w:link w:val="StyleHeading1Arial"/>
    <w:locked/>
    <w:rsid w:val="00F52BDF"/>
    <w:rPr>
      <w:rFonts w:ascii="Arial Bold" w:eastAsia="Times New Roman" w:hAnsi="Arial Bold" w:cs="Times New Roman"/>
      <w:b/>
      <w:sz w:val="24"/>
      <w:szCs w:val="20"/>
      <w:lang w:eastAsia="en-GB"/>
    </w:rPr>
  </w:style>
  <w:style w:type="paragraph" w:styleId="BalloonText">
    <w:name w:val="Balloon Text"/>
    <w:basedOn w:val="Normal"/>
    <w:link w:val="BalloonTextChar"/>
    <w:uiPriority w:val="99"/>
    <w:semiHidden/>
    <w:unhideWhenUsed/>
    <w:rsid w:val="00791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2F"/>
    <w:rPr>
      <w:rFonts w:ascii="Segoe UI" w:eastAsia="Times New Roman" w:hAnsi="Segoe UI" w:cs="Segoe UI"/>
      <w:sz w:val="18"/>
      <w:szCs w:val="18"/>
      <w:lang w:eastAsia="en-GB"/>
    </w:rPr>
  </w:style>
  <w:style w:type="paragraph" w:customStyle="1" w:styleId="Tnormal">
    <w:name w:val="Tnormal"/>
    <w:basedOn w:val="Normal"/>
    <w:link w:val="TnormalChar"/>
    <w:rsid w:val="00B020FC"/>
    <w:pPr>
      <w:keepNext/>
      <w:tabs>
        <w:tab w:val="left" w:pos="284"/>
      </w:tabs>
      <w:ind w:left="142" w:hanging="142"/>
    </w:pPr>
    <w:rPr>
      <w:rFonts w:ascii="Times New Roman" w:hAnsi="Times New Roman"/>
      <w:sz w:val="20"/>
      <w:lang w:eastAsia="en-US"/>
    </w:rPr>
  </w:style>
  <w:style w:type="paragraph" w:customStyle="1" w:styleId="B0">
    <w:name w:val="B0"/>
    <w:basedOn w:val="Normal"/>
    <w:rsid w:val="00B020FC"/>
    <w:pPr>
      <w:spacing w:after="113" w:line="57" w:lineRule="exact"/>
    </w:pPr>
    <w:rPr>
      <w:rFonts w:ascii="Times New Roman" w:hAnsi="Times New Roman"/>
      <w:sz w:val="20"/>
      <w:lang w:eastAsia="en-US"/>
    </w:rPr>
  </w:style>
  <w:style w:type="paragraph" w:customStyle="1" w:styleId="Thead">
    <w:name w:val="Thead"/>
    <w:basedOn w:val="Tdec"/>
    <w:rsid w:val="00B020FC"/>
    <w:pPr>
      <w:keepNext/>
      <w:tabs>
        <w:tab w:val="clear" w:pos="993"/>
      </w:tabs>
      <w:ind w:right="86"/>
      <w:jc w:val="right"/>
    </w:pPr>
    <w:rPr>
      <w:b/>
    </w:rPr>
  </w:style>
  <w:style w:type="paragraph" w:customStyle="1" w:styleId="Tdec">
    <w:name w:val="Tdec"/>
    <w:basedOn w:val="Normal"/>
    <w:rsid w:val="00B020FC"/>
    <w:pPr>
      <w:tabs>
        <w:tab w:val="decimal" w:pos="993"/>
      </w:tabs>
      <w:ind w:right="-6"/>
      <w:jc w:val="both"/>
    </w:pPr>
    <w:rPr>
      <w:rFonts w:ascii="Times New Roman" w:hAnsi="Times New Roman"/>
      <w:sz w:val="20"/>
      <w:lang w:eastAsia="en-US"/>
    </w:rPr>
  </w:style>
  <w:style w:type="paragraph" w:customStyle="1" w:styleId="Tnote">
    <w:name w:val="Tnote"/>
    <w:basedOn w:val="Tdec"/>
    <w:rsid w:val="00B020FC"/>
    <w:pPr>
      <w:tabs>
        <w:tab w:val="clear" w:pos="993"/>
      </w:tabs>
      <w:ind w:right="86"/>
      <w:jc w:val="right"/>
    </w:pPr>
  </w:style>
  <w:style w:type="paragraph" w:customStyle="1" w:styleId="List0-05">
    <w:name w:val="List 0 - 0.5"/>
    <w:rsid w:val="00B020FC"/>
    <w:pPr>
      <w:widowControl w:val="0"/>
      <w:tabs>
        <w:tab w:val="left" w:pos="709"/>
      </w:tabs>
      <w:spacing w:after="0" w:line="240" w:lineRule="auto"/>
    </w:pPr>
    <w:rPr>
      <w:rFonts w:ascii="Arial" w:eastAsia="Times New Roman" w:hAnsi="Arial" w:cs="Times New Roman"/>
      <w:snapToGrid w:val="0"/>
      <w:sz w:val="24"/>
      <w:szCs w:val="20"/>
    </w:rPr>
  </w:style>
  <w:style w:type="character" w:customStyle="1" w:styleId="TnormalChar">
    <w:name w:val="Tnormal Char"/>
    <w:link w:val="Tnormal"/>
    <w:rsid w:val="00B020F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35D4E"/>
    <w:rPr>
      <w:sz w:val="16"/>
      <w:szCs w:val="16"/>
    </w:rPr>
  </w:style>
  <w:style w:type="paragraph" w:styleId="CommentText">
    <w:name w:val="annotation text"/>
    <w:basedOn w:val="Normal"/>
    <w:link w:val="CommentTextChar"/>
    <w:uiPriority w:val="99"/>
    <w:semiHidden/>
    <w:unhideWhenUsed/>
    <w:rsid w:val="00835D4E"/>
    <w:rPr>
      <w:sz w:val="20"/>
    </w:rPr>
  </w:style>
  <w:style w:type="character" w:customStyle="1" w:styleId="CommentTextChar">
    <w:name w:val="Comment Text Char"/>
    <w:basedOn w:val="DefaultParagraphFont"/>
    <w:link w:val="CommentText"/>
    <w:uiPriority w:val="99"/>
    <w:semiHidden/>
    <w:rsid w:val="00835D4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5D4E"/>
    <w:rPr>
      <w:b/>
      <w:bCs/>
    </w:rPr>
  </w:style>
  <w:style w:type="character" w:customStyle="1" w:styleId="CommentSubjectChar">
    <w:name w:val="Comment Subject Char"/>
    <w:basedOn w:val="CommentTextChar"/>
    <w:link w:val="CommentSubject"/>
    <w:uiPriority w:val="99"/>
    <w:semiHidden/>
    <w:rsid w:val="00835D4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rack@loca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86D8-608F-4E02-AEB4-E2565898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2354F044</Template>
  <TotalTime>5</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Brack</dc:creator>
  <cp:keywords/>
  <dc:description/>
  <cp:lastModifiedBy>Paul Goodchild</cp:lastModifiedBy>
  <cp:revision>5</cp:revision>
  <dcterms:created xsi:type="dcterms:W3CDTF">2016-02-25T10:48:00Z</dcterms:created>
  <dcterms:modified xsi:type="dcterms:W3CDTF">2016-02-25T17:05:00Z</dcterms:modified>
</cp:coreProperties>
</file>